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jc w:val="center"/>
      </w:pPr>
      <w:r>
        <w:rPr>
          <w:rFonts w:ascii="Arial" w:cs="Arial" w:eastAsia="Arial" w:hAnsi="Arial"/>
          <w:color w:val="666666"/>
          <w:sz w:val="20"/>
          <w:szCs w:val="20"/>
        </w:rPr>
        <w:t xml:space="preserve">Mahoning County Career and Technical Center</w:t>
      </w:r>
    </w:p>
    <w:p>
      <w:pPr>
        <w:spacing w:after="40"/>
        <w:jc w:val="center"/>
      </w:pPr>
      <w:r>
        <w:rPr>
          <w:rFonts w:ascii="Arial" w:cs="Arial" w:eastAsia="Arial" w:hAnsi="Arial"/>
          <w:b/>
          <w:bCs/>
          <w:color w:val="1B3A5C"/>
          <w:sz w:val="38"/>
          <w:szCs w:val="38"/>
        </w:rPr>
        <w:t xml:space="preserve">Software Development Pathway</w:t>
      </w:r>
    </w:p>
    <w:p>
      <w:pPr>
        <w:spacing w:after="20"/>
        <w:jc w:val="center"/>
      </w:pPr>
      <w:r>
        <w:rPr>
          <w:rFonts w:ascii="Arial" w:cs="Arial" w:eastAsia="Arial" w:hAnsi="Arial"/>
          <w:color w:val="2B6CB0"/>
          <w:sz w:val="21"/>
          <w:szCs w:val="21"/>
        </w:rPr>
        <w:t xml:space="preserve">Earning College Credit Through Ohio’s Career-Technical Assurance Guide (CTAG) Program</w:t>
      </w:r>
    </w:p>
    <w:p>
      <w:pPr>
        <w:pBdr>
          <w:bottom w:val="single" w:color="3182CE" w:sz="4" w:space="1"/>
        </w:pBdr>
        <w:spacing w:after="200"/>
        <w:jc w:val="center"/>
      </w:pPr>
      <w:r>
        <w:rPr>
          <w:rFonts w:ascii="Arial" w:cs="Arial" w:eastAsia="Arial" w:hAnsi="Arial"/>
          <w:i/>
          <w:iCs/>
          <w:color w:val="888888"/>
          <w:sz w:val="19"/>
          <w:szCs w:val="19"/>
        </w:rPr>
        <w:t xml:space="preserve">Advisory Committee Informational Summary</w:t>
      </w:r>
    </w:p>
    <w:p>
      <w:pPr>
        <w:pStyle w:val="Heading1"/>
      </w:pPr>
      <w:r>
        <w:rPr>
          <w:rFonts w:ascii="Arial" w:cs="Arial" w:eastAsia="Arial" w:hAnsi="Arial"/>
          <w:b/>
          <w:bCs/>
          <w:color w:val="1B3A5C"/>
          <w:sz w:val="30"/>
          <w:szCs w:val="30"/>
        </w:rPr>
        <w:t xml:space="preserve">Program Overview</w:t>
      </w:r>
    </w:p>
    <w:p>
      <w:pPr>
        <w:spacing w:after="120"/>
      </w:pPr>
      <w:r>
        <w:rPr>
          <w:rFonts w:ascii="Arial" w:cs="Arial" w:eastAsia="Arial" w:hAnsi="Arial"/>
          <w:sz w:val="22"/>
          <w:szCs w:val="22"/>
        </w:rPr>
        <w:t xml:space="preserve">The MCCTC Software Development Pathway prepares students for careers in programming, web development, and software engineering. Over a two-year program of study, students build real-world skills across four core courses that are fully aligned with Ohio’s statewide college credit transfer framework.</w:t>
      </w:r>
    </w:p>
    <w:p>
      <w:pPr>
        <w:spacing w:after="120"/>
      </w:pPr>
      <w:r>
        <w:rPr>
          <w:rFonts w:ascii="Arial" w:cs="Arial" w:eastAsia="Arial" w:hAnsi="Arial"/>
          <w:sz w:val="22"/>
          <w:szCs w:val="22"/>
        </w:rPr>
        <w:t xml:space="preserve">Every course in our pathway is designated as </w:t>
      </w:r>
      <w:r>
        <w:rPr>
          <w:rFonts w:ascii="Arial" w:cs="Arial" w:eastAsia="Arial" w:hAnsi="Arial"/>
          <w:b/>
          <w:bCs/>
          <w:sz w:val="22"/>
          <w:szCs w:val="22"/>
        </w:rPr>
        <w:t xml:space="preserve">CTAG-eligible</w:t>
      </w:r>
      <w:r>
        <w:rPr>
          <w:rFonts w:ascii="Arial" w:cs="Arial" w:eastAsia="Arial" w:hAnsi="Arial"/>
          <w:sz w:val="22"/>
          <w:szCs w:val="22"/>
        </w:rPr>
        <w:t xml:space="preserve"> by the Ohio Department of Education and Workforce (DEW). This means our graduates can earn </w:t>
      </w:r>
      <w:r>
        <w:rPr>
          <w:rFonts w:ascii="Arial" w:cs="Arial" w:eastAsia="Arial" w:hAnsi="Arial"/>
          <w:b/>
          <w:bCs/>
          <w:sz w:val="22"/>
          <w:szCs w:val="22"/>
        </w:rPr>
        <w:t xml:space="preserve">guaranteed college credit</w:t>
      </w:r>
      <w:r>
        <w:rPr>
          <w:rFonts w:ascii="Arial" w:cs="Arial" w:eastAsia="Arial" w:hAnsi="Arial"/>
          <w:sz w:val="22"/>
          <w:szCs w:val="22"/>
        </w:rPr>
        <w:t xml:space="preserve"> at any Ohio public university or college that offers equivalent coursework—before they ever set foot on a college campus.</w:t>
      </w:r>
    </w:p>
    <w:p>
      <w:pPr>
        <w:pStyle w:val="Heading1"/>
      </w:pPr>
      <w:r>
        <w:rPr>
          <w:rFonts w:ascii="Arial" w:cs="Arial" w:eastAsia="Arial" w:hAnsi="Arial"/>
          <w:b/>
          <w:bCs/>
          <w:color w:val="1B3A5C"/>
          <w:sz w:val="30"/>
          <w:szCs w:val="30"/>
        </w:rPr>
        <w:t xml:space="preserve">What Is the CTAG Program?</w:t>
      </w:r>
    </w:p>
    <w:p>
      <w:pPr>
        <w:spacing w:after="120"/>
      </w:pPr>
      <w:r>
        <w:rPr>
          <w:rFonts w:ascii="Arial" w:cs="Arial" w:eastAsia="Arial" w:hAnsi="Arial"/>
          <w:sz w:val="22"/>
          <w:szCs w:val="22"/>
        </w:rPr>
        <w:t xml:space="preserve">Ohio’s Career-Technical Assurance Guide (CTAG) is a statewide initiative managed jointly by the Ohio Department of Higher Education (ODHE) and the Ohio Department of Education and Workforce (DEW). It ensures that career-technical students receive college credit for the rigorous technical learning they complete in high school.</w:t>
      </w:r>
    </w:p>
    <w:p>
      <w:pPr>
        <w:spacing w:after="120"/>
      </w:pPr>
      <w:r>
        <w:rPr>
          <w:rFonts w:ascii="Arial" w:cs="Arial" w:eastAsia="Arial" w:hAnsi="Arial"/>
          <w:b/>
          <w:bCs/>
          <w:sz w:val="22"/>
          <w:szCs w:val="22"/>
        </w:rPr>
        <w:t xml:space="preserve">How the process works:</w:t>
      </w:r>
    </w:p>
    <w:p>
      <w:pPr>
        <w:pStyle w:val="ListParagraph"/>
        <w:numPr>
          <w:ilvl w:val="0"/>
          <w:numId w:val="2"/>
        </w:numPr>
        <w:spacing w:after="80"/>
      </w:pPr>
      <w:r>
        <w:rPr>
          <w:rFonts w:ascii="Arial" w:cs="Arial" w:eastAsia="Arial" w:hAnsi="Arial"/>
          <w:b/>
          <w:bCs/>
          <w:sz w:val="22"/>
          <w:szCs w:val="22"/>
        </w:rPr>
        <w:t xml:space="preserve">Students complete an approved course</w:t>
      </w:r>
      <w:r>
        <w:rPr>
          <w:rFonts w:ascii="Arial" w:cs="Arial" w:eastAsia="Arial" w:hAnsi="Arial"/>
          <w:sz w:val="22"/>
          <w:szCs w:val="22"/>
        </w:rPr>
        <w:t xml:space="preserve"> in the MCCTC Software Development Pathway.</w:t>
      </w:r>
    </w:p>
    <w:p>
      <w:pPr>
        <w:pStyle w:val="ListParagraph"/>
        <w:numPr>
          <w:ilvl w:val="0"/>
          <w:numId w:val="2"/>
        </w:numPr>
        <w:spacing w:after="80"/>
      </w:pPr>
      <w:r>
        <w:rPr>
          <w:rFonts w:ascii="Arial" w:cs="Arial" w:eastAsia="Arial" w:hAnsi="Arial"/>
          <w:b/>
          <w:bCs/>
          <w:sz w:val="22"/>
          <w:szCs w:val="22"/>
        </w:rPr>
        <w:t xml:space="preserve">Students take the WebXam</w:t>
      </w:r>
      <w:r>
        <w:rPr>
          <w:rFonts w:ascii="Arial" w:cs="Arial" w:eastAsia="Arial" w:hAnsi="Arial"/>
          <w:sz w:val="22"/>
          <w:szCs w:val="22"/>
        </w:rPr>
        <w:t xml:space="preserve">, a state-administered end-of-course assessment that measures mastery of Ohio’s career-technical content standards.</w:t>
      </w:r>
    </w:p>
    <w:p>
      <w:pPr>
        <w:pStyle w:val="ListParagraph"/>
        <w:numPr>
          <w:ilvl w:val="0"/>
          <w:numId w:val="2"/>
        </w:numPr>
        <w:spacing w:after="80"/>
      </w:pPr>
      <w:r>
        <w:rPr>
          <w:rFonts w:ascii="Arial" w:cs="Arial" w:eastAsia="Arial" w:hAnsi="Arial"/>
          <w:b/>
          <w:bCs/>
          <w:sz w:val="22"/>
          <w:szCs w:val="22"/>
        </w:rPr>
        <w:t xml:space="preserve">Students who score at or above the qualifying threshold</w:t>
      </w:r>
      <w:r>
        <w:rPr>
          <w:rFonts w:ascii="Arial" w:cs="Arial" w:eastAsia="Arial" w:hAnsi="Arial"/>
          <w:sz w:val="22"/>
          <w:szCs w:val="22"/>
        </w:rPr>
        <w:t xml:space="preserve"> earn a statewide credit guarantee recorded in their academic record.</w:t>
      </w:r>
    </w:p>
    <w:p>
      <w:pPr>
        <w:pStyle w:val="ListParagraph"/>
        <w:numPr>
          <w:ilvl w:val="0"/>
          <w:numId w:val="2"/>
        </w:numPr>
        <w:spacing w:after="80"/>
      </w:pPr>
      <w:r>
        <w:rPr>
          <w:rFonts w:ascii="Arial" w:cs="Arial" w:eastAsia="Arial" w:hAnsi="Arial"/>
          <w:b/>
          <w:bCs/>
          <w:sz w:val="22"/>
          <w:szCs w:val="22"/>
        </w:rPr>
        <w:t xml:space="preserve">When the student enrolls at an Ohio public college or university</w:t>
      </w:r>
      <w:r>
        <w:rPr>
          <w:rFonts w:ascii="Arial" w:cs="Arial" w:eastAsia="Arial" w:hAnsi="Arial"/>
          <w:sz w:val="22"/>
          <w:szCs w:val="22"/>
        </w:rPr>
        <w:t xml:space="preserve"> (within 3 years of high school graduation), the credit is awarded toward their degree—no additional testing or review required.</w:t>
      </w:r>
    </w:p>
    <w:p>
      <w:pPr>
        <w:spacing w:after="120"/>
      </w:pPr>
      <w:r>
        <w:rPr>
          <w:rFonts w:ascii="Arial" w:cs="Arial" w:eastAsia="Arial" w:hAnsi="Arial"/>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B6CB0" w:sz="2"/>
              <w:left w:val="single" w:color="2B6CB0" w:sz="6"/>
              <w:bottom w:val="single" w:color="2B6CB0" w:sz="2"/>
              <w:right w:val="single" w:color="2B6CB0" w:sz="2"/>
            </w:tcBorders>
            <w:shd w:fill="EDF2F7" w:val="clear"/>
            <w:tcMar>
              <w:top w:type="dxa" w:w="140"/>
              <w:left w:type="dxa" w:w="200"/>
              <w:bottom w:type="dxa" w:w="140"/>
              <w:right w:type="dxa" w:w="200"/>
            </w:tcMar>
          </w:tcPr>
          <w:p>
            <w:pPr>
              <w:spacing w:after="80"/>
            </w:pPr>
            <w:r>
              <w:rPr>
                <w:rFonts w:ascii="Arial" w:cs="Arial" w:eastAsia="Arial" w:hAnsi="Arial"/>
                <w:b/>
                <w:bCs/>
                <w:color w:val="1B3A5C"/>
                <w:sz w:val="24"/>
                <w:szCs w:val="24"/>
              </w:rPr>
              <w:t xml:space="preserve">Why This Matters</w:t>
            </w:r>
          </w:p>
          <w:p>
            <w:pPr>
              <w:spacing w:after="60"/>
            </w:pPr>
            <w:r>
              <w:rPr>
                <w:rFonts w:ascii="Arial" w:cs="Arial" w:eastAsia="Arial" w:hAnsi="Arial"/>
                <w:sz w:val="22"/>
                <w:szCs w:val="22"/>
              </w:rPr>
              <w:t xml:space="preserve">CTAG credit is not a local agreement between one high school and one college. It is a statewide guarantee backed by Ohio law (ORC §3333.162) and the Ohio Transfer Promise. Learning outcomes are validated by statewide panels of college faculty, and the WebXam ensures every student meets the same rigorous standard regardless of which career center they attended.</w:t>
            </w:r>
          </w:p>
          <w:p>
            <w:pPr>
              <w:spacing w:after="60"/>
            </w:pPr>
            <w:r>
              <w:rPr>
                <w:rFonts w:ascii="Arial" w:cs="Arial" w:eastAsia="Arial" w:hAnsi="Arial"/>
                <w:sz w:val="22"/>
                <w:szCs w:val="22"/>
              </w:rPr>
              <w:t xml:space="preserve">This means </w:t>
            </w:r>
            <w:r>
              <w:rPr>
                <w:rFonts w:ascii="Arial" w:cs="Arial" w:eastAsia="Arial" w:hAnsi="Arial"/>
                <w:b/>
                <w:bCs/>
                <w:sz w:val="22"/>
                <w:szCs w:val="22"/>
              </w:rPr>
              <w:t xml:space="preserve">every MCCTC student who earns a qualifying score is guaranteed the same credit as a student from any other career center in Ohio</w:t>
            </w:r>
            <w:r>
              <w:rPr>
                <w:rFonts w:ascii="Arial" w:cs="Arial" w:eastAsia="Arial" w:hAnsi="Arial"/>
                <w:sz w:val="22"/>
                <w:szCs w:val="22"/>
              </w:rPr>
              <w:t xml:space="preserve">—a powerful equity advantage.</w:t>
            </w:r>
          </w:p>
        </w:tc>
      </w:tr>
    </w:tbl>
    <w:p>
      <w:r>
        <w:br w:type="page"/>
      </w:r>
    </w:p>
    <w:p>
      <w:pPr>
        <w:pStyle w:val="Heading1"/>
      </w:pPr>
      <w:r>
        <w:rPr>
          <w:rFonts w:ascii="Arial" w:cs="Arial" w:eastAsia="Arial" w:hAnsi="Arial"/>
          <w:b/>
          <w:bCs/>
          <w:color w:val="1B3A5C"/>
          <w:sz w:val="30"/>
          <w:szCs w:val="30"/>
        </w:rPr>
        <w:t xml:space="preserve">Our Four Courses and Their College Credit Value</w:t>
      </w:r>
    </w:p>
    <w:p>
      <w:pPr>
        <w:spacing w:after="120"/>
      </w:pPr>
      <w:r>
        <w:rPr>
          <w:rFonts w:ascii="Arial" w:cs="Arial" w:eastAsia="Arial" w:hAnsi="Arial"/>
          <w:sz w:val="22"/>
          <w:szCs w:val="22"/>
        </w:rPr>
        <w:t xml:space="preserve">Each course below includes the state-assigned Career-Technical Articulation Number (CTAN), the number of guaranteed college credits, the qualifying WebXam score, and a description of what students learn.</w:t>
      </w:r>
    </w:p>
    <w:p>
      <w:pPr>
        <w:pStyle w:val="Heading2"/>
      </w:pPr>
      <w:r>
        <w:rPr>
          <w:rFonts w:ascii="Arial" w:cs="Arial" w:eastAsia="Arial" w:hAnsi="Arial"/>
          <w:b/>
          <w:bCs/>
          <w:color w:val="2B6CB0"/>
          <w:sz w:val="25"/>
          <w:szCs w:val="25"/>
        </w:rPr>
        <w:t xml:space="preserve">1. Web Design (DEW Course 145010)</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6760"/>
      </w:tblGrid>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CTAG Credit Earned</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CTIM004 – Introduction to Web Development (3 semester hours)</w:t>
            </w:r>
          </w:p>
        </w:tc>
      </w:tr>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TAG Alignment</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OIT003 – Introduction to Web Development</w:t>
            </w:r>
          </w:p>
        </w:tc>
      </w:tr>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Qualifying WebXam Score</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55 or higher</w:t>
            </w:r>
          </w:p>
        </w:tc>
      </w:tr>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Applicable Pathways</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Information Support &amp; Services, Interactive Media, Programming &amp; Software Development</w:t>
            </w:r>
          </w:p>
        </w:tc>
      </w:tr>
    </w:tbl>
    <w:p>
      <w:pPr>
        <w:spacing w:after="120"/>
      </w:pPr>
      <w:r>
        <w:rPr>
          <w:rFonts w:ascii="Arial" w:cs="Arial" w:eastAsia="Arial" w:hAnsi="Arial"/>
          <w:sz w:val="22"/>
          <w:szCs w:val="22"/>
        </w:rPr>
        <w:t xml:space="preserve"/>
      </w:r>
    </w:p>
    <w:p>
      <w:pPr>
        <w:spacing w:after="120"/>
      </w:pPr>
      <w:r>
        <w:rPr>
          <w:rFonts w:ascii="Arial" w:cs="Arial" w:eastAsia="Arial" w:hAnsi="Arial"/>
          <w:sz w:val="22"/>
          <w:szCs w:val="22"/>
        </w:rPr>
        <w:t xml:space="preserve">Students learn the dynamics of the modern web environment through in-depth study of HTML and CSS. They work with web protocols, create websites incorporating text, graphics, hyperlinks, forms, and scripting, and learn responsive design principles. This course prepares students for introductory web development coursework at the university level.</w:t>
      </w:r>
    </w:p>
    <w:p>
      <w:pPr>
        <w:spacing w:after="120"/>
      </w:pPr>
      <w:r>
        <w:rPr>
          <w:rFonts w:ascii="Arial" w:cs="Arial" w:eastAsia="Arial" w:hAnsi="Arial"/>
          <w:i/>
          <w:iCs/>
          <w:color w:val="666666"/>
          <w:sz w:val="20"/>
          <w:szCs w:val="20"/>
        </w:rPr>
        <w:t xml:space="preserve">University-level equivalent: </w:t>
      </w:r>
      <w:r>
        <w:rPr>
          <w:rFonts w:ascii="Arial" w:cs="Arial" w:eastAsia="Arial" w:hAnsi="Arial"/>
          <w:color w:val="666666"/>
          <w:sz w:val="20"/>
          <w:szCs w:val="20"/>
        </w:rPr>
        <w:t xml:space="preserve">Foundations of website development including HTML, CSS, scripting, multimedia, security awareness, and web accessibility standards.</w:t>
      </w:r>
    </w:p>
    <w:p>
      <w:pPr>
        <w:pStyle w:val="Heading2"/>
      </w:pPr>
      <w:r>
        <w:rPr>
          <w:rFonts w:ascii="Arial" w:cs="Arial" w:eastAsia="Arial" w:hAnsi="Arial"/>
          <w:b/>
          <w:bCs/>
          <w:color w:val="2B6CB0"/>
          <w:sz w:val="25"/>
          <w:szCs w:val="25"/>
        </w:rPr>
        <w:t xml:space="preserve">2. Programming (DEW Course 145060)</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6760"/>
      </w:tblGrid>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CTAG Credit Earned</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CTPROG001 – Introduction to Programming (3 semester hours)</w:t>
            </w:r>
          </w:p>
        </w:tc>
      </w:tr>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TAG Alignment</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OIT001 – Introduction to Programming</w:t>
            </w:r>
          </w:p>
        </w:tc>
      </w:tr>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Qualifying WebXam Score</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55 or higher</w:t>
            </w:r>
          </w:p>
        </w:tc>
      </w:tr>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Applicable Pathways</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Information Support &amp; Services, Interactive Media, Programming &amp; Software Development</w:t>
            </w:r>
          </w:p>
        </w:tc>
      </w:tr>
    </w:tbl>
    <w:p>
      <w:pPr>
        <w:spacing w:after="120"/>
      </w:pPr>
      <w:r>
        <w:rPr>
          <w:rFonts w:ascii="Arial" w:cs="Arial" w:eastAsia="Arial" w:hAnsi="Arial"/>
          <w:sz w:val="22"/>
          <w:szCs w:val="22"/>
        </w:rPr>
        <w:t xml:space="preserve"/>
      </w:r>
    </w:p>
    <w:p>
      <w:pPr>
        <w:spacing w:after="120"/>
      </w:pPr>
      <w:r>
        <w:rPr>
          <w:rFonts w:ascii="Arial" w:cs="Arial" w:eastAsia="Arial" w:hAnsi="Arial"/>
          <w:sz w:val="22"/>
          <w:szCs w:val="22"/>
        </w:rPr>
        <w:t xml:space="preserve">Students learn the fundamentals of building interactive applications. They master the core constructs of programming logic—sequence, selection, and loop—and apply algorithmic solutions to real-world problem scenarios. The course covers data types, variables, arrays, functions, error handling, debugging, and documentation using industry-standard languages.</w:t>
      </w:r>
    </w:p>
    <w:p>
      <w:pPr>
        <w:spacing w:after="120"/>
      </w:pPr>
      <w:r>
        <w:rPr>
          <w:rFonts w:ascii="Arial" w:cs="Arial" w:eastAsia="Arial" w:hAnsi="Arial"/>
          <w:i/>
          <w:iCs/>
          <w:color w:val="666666"/>
          <w:sz w:val="20"/>
          <w:szCs w:val="20"/>
        </w:rPr>
        <w:t xml:space="preserve">University-level equivalent: </w:t>
      </w:r>
      <w:r>
        <w:rPr>
          <w:rFonts w:ascii="Arial" w:cs="Arial" w:eastAsia="Arial" w:hAnsi="Arial"/>
          <w:color w:val="666666"/>
          <w:sz w:val="20"/>
          <w:szCs w:val="20"/>
        </w:rPr>
        <w:t xml:space="preserve">Introduction to programming concepts using a high-level language, covering algorithms, pseudocode, IDEs, variables, conditionals, loops, arrays, testing, and debugging.</w:t>
      </w:r>
    </w:p>
    <w:p>
      <w:r>
        <w:br w:type="page"/>
      </w:r>
    </w:p>
    <w:p>
      <w:pPr>
        <w:pStyle w:val="Heading2"/>
      </w:pPr>
      <w:r>
        <w:rPr>
          <w:rFonts w:ascii="Arial" w:cs="Arial" w:eastAsia="Arial" w:hAnsi="Arial"/>
          <w:b/>
          <w:bCs/>
          <w:color w:val="2B6CB0"/>
          <w:sz w:val="25"/>
          <w:szCs w:val="25"/>
        </w:rPr>
        <w:t xml:space="preserve">3. Object-Oriented Programming (DEW Course 145065)</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6760"/>
      </w:tblGrid>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CTAG Credit Earned</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CTPROG002 – Java Programming (3 semester hours)</w:t>
            </w:r>
          </w:p>
          <w:p>
            <w:pPr>
              <w:spacing w:after="20"/>
            </w:pPr>
            <w:r>
              <w:rPr>
                <w:rFonts w:ascii="Arial" w:cs="Arial" w:eastAsia="Arial" w:hAnsi="Arial"/>
                <w:sz w:val="19"/>
                <w:szCs w:val="19"/>
              </w:rPr>
              <w:t xml:space="preserve">OR CTPROG003 – C++ Programming (3 semester hours)</w:t>
            </w:r>
          </w:p>
        </w:tc>
      </w:tr>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TAG Alignment</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OCS001 – Computer Science I</w:t>
            </w:r>
          </w:p>
        </w:tc>
      </w:tr>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Qualifying WebXam Score</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55 or higher</w:t>
            </w:r>
          </w:p>
        </w:tc>
      </w:tr>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Applicable Pathways</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All four IT pathways (N0, N1, N2, N3)</w:t>
            </w:r>
          </w:p>
        </w:tc>
      </w:tr>
    </w:tbl>
    <w:p>
      <w:pPr>
        <w:spacing w:after="120"/>
      </w:pPr>
      <w:r>
        <w:rPr>
          <w:rFonts w:ascii="Arial" w:cs="Arial" w:eastAsia="Arial" w:hAnsi="Arial"/>
          <w:sz w:val="22"/>
          <w:szCs w:val="22"/>
        </w:rPr>
        <w:t xml:space="preserve"/>
      </w:r>
    </w:p>
    <w:p>
      <w:pPr>
        <w:spacing w:after="120"/>
      </w:pPr>
      <w:r>
        <w:rPr>
          <w:rFonts w:ascii="Arial" w:cs="Arial" w:eastAsia="Arial" w:hAnsi="Arial"/>
          <w:sz w:val="22"/>
          <w:szCs w:val="22"/>
        </w:rPr>
        <w:t xml:space="preserve">Students learn to model programming concepts as objects with data fields and methods. They implement classes supporting inheritance, polymorphism, exception handling, and object serialization. This course builds directly on the foundations of the Programming course and prepares students for advanced software development coursework at the university level.</w:t>
      </w:r>
    </w:p>
    <w:p>
      <w:pPr>
        <w:spacing w:after="120"/>
      </w:pPr>
      <w:r>
        <w:rPr>
          <w:rFonts w:ascii="Arial" w:cs="Arial" w:eastAsia="Arial" w:hAnsi="Arial"/>
          <w:i/>
          <w:iCs/>
          <w:color w:val="666666"/>
          <w:sz w:val="20"/>
          <w:szCs w:val="20"/>
        </w:rPr>
        <w:t xml:space="preserve">University-level equivalent: </w:t>
      </w:r>
      <w:r>
        <w:rPr>
          <w:rFonts w:ascii="Arial" w:cs="Arial" w:eastAsia="Arial" w:hAnsi="Arial"/>
          <w:color w:val="666666"/>
          <w:sz w:val="20"/>
          <w:szCs w:val="20"/>
        </w:rPr>
        <w:t xml:space="preserve">Object-oriented design and programming including classes, encapsulation, inheritance, polymorphism, exception handling, and generics. Design, development, and testing of large-scale OO programs.</w:t>
      </w:r>
    </w:p>
    <w:p>
      <w:pPr>
        <w:pStyle w:val="Heading2"/>
      </w:pPr>
      <w:r>
        <w:rPr>
          <w:rFonts w:ascii="Arial" w:cs="Arial" w:eastAsia="Arial" w:hAnsi="Arial"/>
          <w:b/>
          <w:bCs/>
          <w:color w:val="2B6CB0"/>
          <w:sz w:val="25"/>
          <w:szCs w:val="25"/>
        </w:rPr>
        <w:t xml:space="preserve">4. Visual Programming (DEW Course 145070)</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6760"/>
      </w:tblGrid>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CTAG Credit Earned</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CTIT012 – Microsoft .NET Fundamentals (3 semester hours)</w:t>
            </w:r>
          </w:p>
        </w:tc>
      </w:tr>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TAG Alignment</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Standalone CTAG (no separate TAG)</w:t>
            </w:r>
          </w:p>
        </w:tc>
      </w:tr>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Qualifying WebXam Score</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50 or higher</w:t>
            </w:r>
          </w:p>
        </w:tc>
      </w:tr>
      <w:tr>
        <w:tc>
          <w:tcPr>
            <w:tcW w:type="dxa" w:w="26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r>
              <w:rPr>
                <w:rFonts w:ascii="Arial" w:cs="Arial" w:eastAsia="Arial" w:hAnsi="Arial"/>
                <w:b/>
                <w:bCs/>
                <w:sz w:val="19"/>
                <w:szCs w:val="19"/>
              </w:rPr>
              <w:t xml:space="preserve">Applicable Pathways</w:t>
            </w:r>
          </w:p>
        </w:tc>
        <w:tc>
          <w:tcPr>
            <w:tcW w:type="dxa" w:w="67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20"/>
            </w:pPr>
            <w:r>
              <w:rPr>
                <w:rFonts w:ascii="Arial" w:cs="Arial" w:eastAsia="Arial" w:hAnsi="Arial"/>
                <w:sz w:val="19"/>
                <w:szCs w:val="19"/>
              </w:rPr>
              <w:t xml:space="preserve">Information Support &amp; Services, Interactive Media, Programming &amp; Software Development</w:t>
            </w:r>
          </w:p>
        </w:tc>
      </w:tr>
    </w:tbl>
    <w:p>
      <w:pPr>
        <w:spacing w:after="120"/>
      </w:pPr>
      <w:r>
        <w:rPr>
          <w:rFonts w:ascii="Arial" w:cs="Arial" w:eastAsia="Arial" w:hAnsi="Arial"/>
          <w:sz w:val="22"/>
          <w:szCs w:val="22"/>
        </w:rPr>
        <w:t xml:space="preserve"/>
      </w:r>
    </w:p>
    <w:p>
      <w:pPr>
        <w:spacing w:after="120"/>
      </w:pPr>
      <w:r>
        <w:rPr>
          <w:rFonts w:ascii="Arial" w:cs="Arial" w:eastAsia="Arial" w:hAnsi="Arial"/>
          <w:sz w:val="22"/>
          <w:szCs w:val="22"/>
        </w:rPr>
        <w:t xml:space="preserve">Students create event-driven programs using object-oriented techniques for web-based and standalone applications. They design, build, and test computer applications, web applications, and mobile applications using both commercial and open-source development tools. This course bridges programming fundamentals with real-world GUI development and professional application design.</w:t>
      </w:r>
    </w:p>
    <w:p>
      <w:pPr>
        <w:spacing w:after="120"/>
      </w:pPr>
      <w:r>
        <w:rPr>
          <w:rFonts w:ascii="Arial" w:cs="Arial" w:eastAsia="Arial" w:hAnsi="Arial"/>
          <w:i/>
          <w:iCs/>
          <w:color w:val="666666"/>
          <w:sz w:val="20"/>
          <w:szCs w:val="20"/>
        </w:rPr>
        <w:t xml:space="preserve">University-level equivalent: </w:t>
      </w:r>
      <w:r>
        <w:rPr>
          <w:rFonts w:ascii="Arial" w:cs="Arial" w:eastAsia="Arial" w:hAnsi="Arial"/>
          <w:color w:val="666666"/>
          <w:sz w:val="20"/>
          <w:szCs w:val="20"/>
        </w:rPr>
        <w:t xml:space="preserve">Visual/object-oriented programming using one or more visual languages. Development of interactive programs with graphical user interfaces, database programming, and internet programming.</w:t>
      </w:r>
    </w:p>
    <w:p>
      <w:r>
        <w:br w:type="page"/>
      </w:r>
    </w:p>
    <w:p>
      <w:pPr>
        <w:pStyle w:val="Heading1"/>
      </w:pPr>
      <w:r>
        <w:rPr>
          <w:rFonts w:ascii="Arial" w:cs="Arial" w:eastAsia="Arial" w:hAnsi="Arial"/>
          <w:b/>
          <w:bCs/>
          <w:color w:val="1B3A5C"/>
          <w:sz w:val="30"/>
          <w:szCs w:val="30"/>
        </w:rPr>
        <w:t xml:space="preserve">Total Credit Opportunity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38A169" w:sz="2"/>
              <w:left w:val="single" w:color="38A169" w:sz="6"/>
              <w:bottom w:val="single" w:color="38A169" w:sz="2"/>
              <w:right w:val="single" w:color="38A169" w:sz="2"/>
            </w:tcBorders>
            <w:shd w:fill="F0FFF4" w:val="clear"/>
            <w:tcMar>
              <w:top w:type="dxa" w:w="140"/>
              <w:left w:type="dxa" w:w="200"/>
              <w:bottom w:type="dxa" w:w="140"/>
              <w:right w:type="dxa" w:w="200"/>
            </w:tcMar>
          </w:tcPr>
          <w:p>
            <w:pPr>
              <w:spacing w:after="80"/>
            </w:pPr>
            <w:r>
              <w:rPr>
                <w:rFonts w:ascii="Arial" w:cs="Arial" w:eastAsia="Arial" w:hAnsi="Arial"/>
                <w:b/>
                <w:bCs/>
                <w:color w:val="1B3A5C"/>
                <w:sz w:val="24"/>
                <w:szCs w:val="24"/>
              </w:rPr>
              <w:t xml:space="preserve">Up to 12 Semester Hours of Guaranteed College Credit</w:t>
            </w:r>
          </w:p>
          <w:p>
            <w:pPr>
              <w:spacing w:after="60"/>
            </w:pPr>
            <w:r>
              <w:rPr>
                <w:rFonts w:ascii="Arial" w:cs="Arial" w:eastAsia="Arial" w:hAnsi="Arial"/>
                <w:sz w:val="22"/>
                <w:szCs w:val="22"/>
              </w:rPr>
              <w:t xml:space="preserve">A student who completes all four courses and earns qualifying WebXam scores can earn up to </w:t>
            </w:r>
            <w:r>
              <w:rPr>
                <w:rFonts w:ascii="Arial" w:cs="Arial" w:eastAsia="Arial" w:hAnsi="Arial"/>
                <w:b/>
                <w:bCs/>
                <w:sz w:val="22"/>
                <w:szCs w:val="22"/>
              </w:rPr>
              <w:t xml:space="preserve">12 semester hours</w:t>
            </w:r>
            <w:r>
              <w:rPr>
                <w:rFonts w:ascii="Arial" w:cs="Arial" w:eastAsia="Arial" w:hAnsi="Arial"/>
                <w:sz w:val="22"/>
                <w:szCs w:val="22"/>
              </w:rPr>
              <w:t xml:space="preserve"> of guaranteed college credit at Ohio public institutions.</w:t>
            </w:r>
          </w:p>
          <w:p>
            <w:pPr>
              <w:spacing w:after="60"/>
            </w:pPr>
            <w:r>
              <w:rPr>
                <w:rFonts w:ascii="Arial" w:cs="Arial" w:eastAsia="Arial" w:hAnsi="Arial"/>
                <w:sz w:val="22"/>
                <w:szCs w:val="22"/>
              </w:rPr>
              <w:t xml:space="preserve">At current in-state tuition rates, this represents approximately </w:t>
            </w:r>
            <w:r>
              <w:rPr>
                <w:rFonts w:ascii="Arial" w:cs="Arial" w:eastAsia="Arial" w:hAnsi="Arial"/>
                <w:b/>
                <w:bCs/>
                <w:sz w:val="22"/>
                <w:szCs w:val="22"/>
              </w:rPr>
              <w:t xml:space="preserve">$3,500–$5,000 in savings</w:t>
            </w:r>
            <w:r>
              <w:rPr>
                <w:rFonts w:ascii="Arial" w:cs="Arial" w:eastAsia="Arial" w:hAnsi="Arial"/>
                <w:sz w:val="22"/>
                <w:szCs w:val="22"/>
              </w:rPr>
              <w:t xml:space="preserve"> for families—real money that stays in our community.</w:t>
            </w:r>
          </w:p>
          <w:p>
            <w:pPr>
              <w:spacing w:after="60"/>
            </w:pPr>
            <w:r>
              <w:rPr>
                <w:rFonts w:ascii="Arial" w:cs="Arial" w:eastAsia="Arial" w:hAnsi="Arial"/>
                <w:sz w:val="22"/>
                <w:szCs w:val="22"/>
              </w:rPr>
              <w:t xml:space="preserve">Beyond the financial savings, students avoid repeating content they have already mastered and can move directly into upper-division coursework—accelerating their path to a degree and a career.</w:t>
            </w:r>
          </w:p>
        </w:tc>
      </w:tr>
    </w:tbl>
    <w:p>
      <w:pPr>
        <w:spacing w:after="120"/>
      </w:pPr>
      <w:r>
        <w:rPr>
          <w:rFonts w:ascii="Arial" w:cs="Arial" w:eastAsia="Arial" w:hAnsi="Arial"/>
          <w:sz w:val="22"/>
          <w:szCs w:val="22"/>
        </w:rPr>
        <w:t xml:space="preserve"/>
      </w:r>
    </w:p>
    <w:p>
      <w:pPr>
        <w:pStyle w:val="Heading1"/>
      </w:pPr>
      <w:r>
        <w:rPr>
          <w:rFonts w:ascii="Arial" w:cs="Arial" w:eastAsia="Arial" w:hAnsi="Arial"/>
          <w:b/>
          <w:bCs/>
          <w:color w:val="1B3A5C"/>
          <w:sz w:val="30"/>
          <w:szCs w:val="30"/>
        </w:rPr>
        <w:t xml:space="preserve">Course Crosswalk: MCCTC to Youngstown State University</w:t>
      </w:r>
    </w:p>
    <w:p>
      <w:pPr>
        <w:spacing w:after="120"/>
      </w:pPr>
      <w:r>
        <w:rPr>
          <w:rFonts w:ascii="Arial" w:cs="Arial" w:eastAsia="Arial" w:hAnsi="Arial"/>
          <w:sz w:val="22"/>
          <w:szCs w:val="22"/>
        </w:rPr>
        <w:t xml:space="preserve">YSU offers both a Bachelor of Science in Computer Science and a Bachelor of Science in Applied Science in Information Technology. The following crosswalk shows how each MCCTC Software Development course maps to specific YSU coursework based on aligned content and learning outcomes.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700"/>
        <w:gridCol w:w="1400"/>
        <w:gridCol w:w="1400"/>
        <w:gridCol w:w="2400"/>
        <w:gridCol w:w="2460"/>
      </w:tblGrid>
      <w:tr>
        <w:tc>
          <w:tcPr>
            <w:tcW w:type="dxa" w:w="1700"/>
            <w:tcBorders>
              <w:top w:val="single" w:color="CBD5E0" w:sz="1"/>
              <w:left w:val="single" w:color="CBD5E0" w:sz="1"/>
              <w:bottom w:val="single" w:color="CBD5E0" w:sz="1"/>
              <w:right w:val="single" w:color="CBD5E0" w:sz="1"/>
            </w:tcBorders>
            <w:shd w:fill="1B3A5C" w:val="clear"/>
            <w:tcMar>
              <w:top w:type="dxa" w:w="80"/>
              <w:left w:type="dxa" w:w="120"/>
              <w:bottom w:type="dxa" w:w="80"/>
              <w:right w:type="dxa" w:w="120"/>
            </w:tcMar>
          </w:tcPr>
          <w:p>
            <w:r>
              <w:rPr>
                <w:rFonts w:ascii="Arial" w:cs="Arial" w:eastAsia="Arial" w:hAnsi="Arial"/>
                <w:b/>
                <w:bCs/>
                <w:color w:val="FFFFFF"/>
                <w:sz w:val="19"/>
                <w:szCs w:val="19"/>
              </w:rPr>
              <w:t xml:space="preserve">MCCTC Course</w:t>
            </w:r>
          </w:p>
        </w:tc>
        <w:tc>
          <w:tcPr>
            <w:tcW w:type="dxa" w:w="1400"/>
            <w:tcBorders>
              <w:top w:val="single" w:color="CBD5E0" w:sz="1"/>
              <w:left w:val="single" w:color="CBD5E0" w:sz="1"/>
              <w:bottom w:val="single" w:color="CBD5E0" w:sz="1"/>
              <w:right w:val="single" w:color="CBD5E0" w:sz="1"/>
            </w:tcBorders>
            <w:shd w:fill="1B3A5C" w:val="clear"/>
            <w:tcMar>
              <w:top w:type="dxa" w:w="80"/>
              <w:left w:type="dxa" w:w="120"/>
              <w:bottom w:type="dxa" w:w="80"/>
              <w:right w:type="dxa" w:w="120"/>
            </w:tcMar>
          </w:tcPr>
          <w:p>
            <w:r>
              <w:rPr>
                <w:rFonts w:ascii="Arial" w:cs="Arial" w:eastAsia="Arial" w:hAnsi="Arial"/>
                <w:b/>
                <w:bCs/>
                <w:color w:val="FFFFFF"/>
                <w:sz w:val="19"/>
                <w:szCs w:val="19"/>
              </w:rPr>
              <w:t xml:space="preserve">CTAN</w:t>
            </w:r>
          </w:p>
        </w:tc>
        <w:tc>
          <w:tcPr>
            <w:tcW w:type="dxa" w:w="1400"/>
            <w:tcBorders>
              <w:top w:val="single" w:color="CBD5E0" w:sz="1"/>
              <w:left w:val="single" w:color="CBD5E0" w:sz="1"/>
              <w:bottom w:val="single" w:color="CBD5E0" w:sz="1"/>
              <w:right w:val="single" w:color="CBD5E0" w:sz="1"/>
            </w:tcBorders>
            <w:shd w:fill="1B3A5C" w:val="clear"/>
            <w:tcMar>
              <w:top w:type="dxa" w:w="80"/>
              <w:left w:type="dxa" w:w="120"/>
              <w:bottom w:type="dxa" w:w="80"/>
              <w:right w:type="dxa" w:w="120"/>
            </w:tcMar>
          </w:tcPr>
          <w:p>
            <w:r>
              <w:rPr>
                <w:rFonts w:ascii="Arial" w:cs="Arial" w:eastAsia="Arial" w:hAnsi="Arial"/>
                <w:b/>
                <w:bCs/>
                <w:color w:val="FFFFFF"/>
                <w:sz w:val="19"/>
                <w:szCs w:val="19"/>
              </w:rPr>
              <w:t xml:space="preserve">Credits</w:t>
            </w:r>
          </w:p>
        </w:tc>
        <w:tc>
          <w:tcPr>
            <w:tcW w:type="dxa" w:w="2400"/>
            <w:tcBorders>
              <w:top w:val="single" w:color="CBD5E0" w:sz="1"/>
              <w:left w:val="single" w:color="CBD5E0" w:sz="1"/>
              <w:bottom w:val="single" w:color="CBD5E0" w:sz="1"/>
              <w:right w:val="single" w:color="CBD5E0" w:sz="1"/>
            </w:tcBorders>
            <w:shd w:fill="1B3A5C" w:val="clear"/>
            <w:tcMar>
              <w:top w:type="dxa" w:w="80"/>
              <w:left w:type="dxa" w:w="120"/>
              <w:bottom w:type="dxa" w:w="80"/>
              <w:right w:type="dxa" w:w="120"/>
            </w:tcMar>
          </w:tcPr>
          <w:p>
            <w:r>
              <w:rPr>
                <w:rFonts w:ascii="Arial" w:cs="Arial" w:eastAsia="Arial" w:hAnsi="Arial"/>
                <w:b/>
                <w:bCs/>
                <w:color w:val="FFFFFF"/>
                <w:sz w:val="19"/>
                <w:szCs w:val="19"/>
              </w:rPr>
              <w:t xml:space="preserve">YSU Equivalent</w:t>
            </w:r>
          </w:p>
        </w:tc>
        <w:tc>
          <w:tcPr>
            <w:tcW w:type="dxa" w:w="2460"/>
            <w:tcBorders>
              <w:top w:val="single" w:color="CBD5E0" w:sz="1"/>
              <w:left w:val="single" w:color="CBD5E0" w:sz="1"/>
              <w:bottom w:val="single" w:color="CBD5E0" w:sz="1"/>
              <w:right w:val="single" w:color="CBD5E0" w:sz="1"/>
            </w:tcBorders>
            <w:shd w:fill="1B3A5C" w:val="clear"/>
            <w:tcMar>
              <w:top w:type="dxa" w:w="80"/>
              <w:left w:type="dxa" w:w="120"/>
              <w:bottom w:type="dxa" w:w="80"/>
              <w:right w:type="dxa" w:w="120"/>
            </w:tcMar>
          </w:tcPr>
          <w:p>
            <w:r>
              <w:rPr>
                <w:rFonts w:ascii="Arial" w:cs="Arial" w:eastAsia="Arial" w:hAnsi="Arial"/>
                <w:b/>
                <w:bCs/>
                <w:color w:val="FFFFFF"/>
                <w:sz w:val="19"/>
                <w:szCs w:val="19"/>
              </w:rPr>
              <w:t xml:space="preserve">Content Alignment</w:t>
            </w:r>
          </w:p>
        </w:tc>
      </w:tr>
      <w:tr>
        <w:tc>
          <w:tcPr>
            <w:tcW w:type="dxa" w:w="170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30"/>
            </w:pPr>
            <w:r>
              <w:rPr>
                <w:rFonts w:ascii="Arial" w:cs="Arial" w:eastAsia="Arial" w:hAnsi="Arial"/>
                <w:sz w:val="19"/>
                <w:szCs w:val="19"/>
              </w:rPr>
              <w:t xml:space="preserve">Web Design</w:t>
            </w:r>
          </w:p>
          <w:p>
            <w:pPr>
              <w:spacing w:after="30"/>
            </w:pPr>
            <w:r>
              <w:rPr>
                <w:rFonts w:ascii="Arial" w:cs="Arial" w:eastAsia="Arial" w:hAnsi="Arial"/>
                <w:sz w:val="19"/>
                <w:szCs w:val="19"/>
              </w:rPr>
              <w:t xml:space="preserve">(145010)</w:t>
            </w:r>
          </w:p>
        </w:tc>
        <w:tc>
          <w:tcPr>
            <w:tcW w:type="dxa" w:w="140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30"/>
            </w:pPr>
            <w:r>
              <w:rPr>
                <w:rFonts w:ascii="Arial" w:cs="Arial" w:eastAsia="Arial" w:hAnsi="Arial"/>
                <w:sz w:val="19"/>
                <w:szCs w:val="19"/>
              </w:rPr>
              <w:t xml:space="preserve">CTIM004</w:t>
            </w:r>
          </w:p>
          <w:p>
            <w:pPr>
              <w:spacing w:after="30"/>
            </w:pPr>
            <w:r>
              <w:rPr>
                <w:rFonts w:ascii="Arial" w:cs="Arial" w:eastAsia="Arial" w:hAnsi="Arial"/>
                <w:sz w:val="19"/>
                <w:szCs w:val="19"/>
              </w:rPr>
              <w:t xml:space="preserve">TAG: OIT003</w:t>
            </w:r>
          </w:p>
        </w:tc>
        <w:tc>
          <w:tcPr>
            <w:tcW w:type="dxa" w:w="140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30"/>
            </w:pPr>
            <w:r>
              <w:rPr>
                <w:rFonts w:ascii="Arial" w:cs="Arial" w:eastAsia="Arial" w:hAnsi="Arial"/>
                <w:sz w:val="19"/>
                <w:szCs w:val="19"/>
              </w:rPr>
              <w:t xml:space="preserve">3 hrs</w:t>
            </w:r>
          </w:p>
        </w:tc>
        <w:tc>
          <w:tcPr>
            <w:tcW w:type="dxa" w:w="240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30"/>
            </w:pPr>
            <w:r>
              <w:rPr>
                <w:rFonts w:ascii="Arial" w:cs="Arial" w:eastAsia="Arial" w:hAnsi="Arial"/>
                <w:sz w:val="19"/>
                <w:szCs w:val="19"/>
              </w:rPr>
              <w:t xml:space="preserve">CSIS 1570</w:t>
            </w:r>
          </w:p>
          <w:p>
            <w:pPr>
              <w:spacing w:after="30"/>
            </w:pPr>
            <w:r>
              <w:rPr>
                <w:rFonts w:ascii="Arial" w:cs="Arial" w:eastAsia="Arial" w:hAnsi="Arial"/>
                <w:sz w:val="19"/>
                <w:szCs w:val="19"/>
              </w:rPr>
              <w:t xml:space="preserve">Web Systems &amp;</w:t>
            </w:r>
          </w:p>
          <w:p>
            <w:pPr>
              <w:spacing w:after="30"/>
            </w:pPr>
            <w:r>
              <w:rPr>
                <w:rFonts w:ascii="Arial" w:cs="Arial" w:eastAsia="Arial" w:hAnsi="Arial"/>
                <w:sz w:val="19"/>
                <w:szCs w:val="19"/>
              </w:rPr>
              <w:t xml:space="preserve">Technologies (3 cr)</w:t>
            </w:r>
          </w:p>
        </w:tc>
        <w:tc>
          <w:tcPr>
            <w:tcW w:type="dxa" w:w="24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30"/>
            </w:pPr>
            <w:r>
              <w:rPr>
                <w:rFonts w:ascii="Arial" w:cs="Arial" w:eastAsia="Arial" w:hAnsi="Arial"/>
                <w:sz w:val="19"/>
                <w:szCs w:val="19"/>
              </w:rPr>
              <w:t xml:space="preserve">HTML, CSS, web protocols,</w:t>
            </w:r>
          </w:p>
          <w:p>
            <w:pPr>
              <w:spacing w:after="30"/>
            </w:pPr>
            <w:r>
              <w:rPr>
                <w:rFonts w:ascii="Arial" w:cs="Arial" w:eastAsia="Arial" w:hAnsi="Arial"/>
                <w:sz w:val="19"/>
                <w:szCs w:val="19"/>
              </w:rPr>
              <w:t xml:space="preserve">scripting, responsive</w:t>
            </w:r>
          </w:p>
          <w:p>
            <w:pPr>
              <w:spacing w:after="30"/>
            </w:pPr>
            <w:r>
              <w:rPr>
                <w:rFonts w:ascii="Arial" w:cs="Arial" w:eastAsia="Arial" w:hAnsi="Arial"/>
                <w:sz w:val="19"/>
                <w:szCs w:val="19"/>
              </w:rPr>
              <w:t xml:space="preserve">design, accessibility</w:t>
            </w:r>
          </w:p>
        </w:tc>
      </w:tr>
      <w:tr>
        <w:tc>
          <w:tcPr>
            <w:tcW w:type="dxa" w:w="17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pPr>
              <w:spacing w:after="30"/>
            </w:pPr>
            <w:r>
              <w:rPr>
                <w:rFonts w:ascii="Arial" w:cs="Arial" w:eastAsia="Arial" w:hAnsi="Arial"/>
                <w:sz w:val="19"/>
                <w:szCs w:val="19"/>
              </w:rPr>
              <w:t xml:space="preserve">Programming</w:t>
            </w:r>
          </w:p>
          <w:p>
            <w:pPr>
              <w:spacing w:after="30"/>
            </w:pPr>
            <w:r>
              <w:rPr>
                <w:rFonts w:ascii="Arial" w:cs="Arial" w:eastAsia="Arial" w:hAnsi="Arial"/>
                <w:sz w:val="19"/>
                <w:szCs w:val="19"/>
              </w:rPr>
              <w:t xml:space="preserve">(145060)</w:t>
            </w:r>
          </w:p>
        </w:tc>
        <w:tc>
          <w:tcPr>
            <w:tcW w:type="dxa" w:w="14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pPr>
              <w:spacing w:after="30"/>
            </w:pPr>
            <w:r>
              <w:rPr>
                <w:rFonts w:ascii="Arial" w:cs="Arial" w:eastAsia="Arial" w:hAnsi="Arial"/>
                <w:sz w:val="19"/>
                <w:szCs w:val="19"/>
              </w:rPr>
              <w:t xml:space="preserve">CTPROG001</w:t>
            </w:r>
          </w:p>
          <w:p>
            <w:pPr>
              <w:spacing w:after="30"/>
            </w:pPr>
            <w:r>
              <w:rPr>
                <w:rFonts w:ascii="Arial" w:cs="Arial" w:eastAsia="Arial" w:hAnsi="Arial"/>
                <w:sz w:val="19"/>
                <w:szCs w:val="19"/>
              </w:rPr>
              <w:t xml:space="preserve">TAG: OIT001</w:t>
            </w:r>
          </w:p>
        </w:tc>
        <w:tc>
          <w:tcPr>
            <w:tcW w:type="dxa" w:w="14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pPr>
              <w:spacing w:after="30"/>
            </w:pPr>
            <w:r>
              <w:rPr>
                <w:rFonts w:ascii="Arial" w:cs="Arial" w:eastAsia="Arial" w:hAnsi="Arial"/>
                <w:sz w:val="19"/>
                <w:szCs w:val="19"/>
              </w:rPr>
              <w:t xml:space="preserve">3 hrs</w:t>
            </w:r>
          </w:p>
        </w:tc>
        <w:tc>
          <w:tcPr>
            <w:tcW w:type="dxa" w:w="24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pPr>
              <w:spacing w:after="30"/>
            </w:pPr>
            <w:r>
              <w:rPr>
                <w:rFonts w:ascii="Arial" w:cs="Arial" w:eastAsia="Arial" w:hAnsi="Arial"/>
                <w:sz w:val="19"/>
                <w:szCs w:val="19"/>
              </w:rPr>
              <w:t xml:space="preserve">CSIS 1595/1595L</w:t>
            </w:r>
          </w:p>
          <w:p>
            <w:pPr>
              <w:spacing w:after="30"/>
            </w:pPr>
            <w:r>
              <w:rPr>
                <w:rFonts w:ascii="Arial" w:cs="Arial" w:eastAsia="Arial" w:hAnsi="Arial"/>
                <w:sz w:val="19"/>
                <w:szCs w:val="19"/>
              </w:rPr>
              <w:t xml:space="preserve">Fund. of Programming</w:t>
            </w:r>
          </w:p>
          <w:p>
            <w:pPr>
              <w:spacing w:after="30"/>
            </w:pPr>
            <w:r>
              <w:rPr>
                <w:rFonts w:ascii="Arial" w:cs="Arial" w:eastAsia="Arial" w:hAnsi="Arial"/>
                <w:sz w:val="19"/>
                <w:szCs w:val="19"/>
              </w:rPr>
              <w:t xml:space="preserve">(2+1 cr)</w:t>
            </w:r>
          </w:p>
          <w:p>
            <w:pPr>
              <w:spacing w:after="30"/>
            </w:pPr>
            <w:r>
              <w:rPr>
                <w:rFonts w:ascii="Arial" w:cs="Arial" w:eastAsia="Arial" w:hAnsi="Arial"/>
                <w:sz w:val="19"/>
                <w:szCs w:val="19"/>
              </w:rPr>
              <w:t xml:space="preserve">OR CSIS 2610/2610L</w:t>
            </w:r>
          </w:p>
          <w:p>
            <w:pPr>
              <w:spacing w:after="30"/>
            </w:pPr>
            <w:r>
              <w:rPr>
                <w:rFonts w:ascii="Arial" w:cs="Arial" w:eastAsia="Arial" w:hAnsi="Arial"/>
                <w:sz w:val="19"/>
                <w:szCs w:val="19"/>
              </w:rPr>
              <w:t xml:space="preserve">(3+1 cr)</w:t>
            </w:r>
          </w:p>
        </w:tc>
        <w:tc>
          <w:tcPr>
            <w:tcW w:type="dxa" w:w="246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pPr>
              <w:spacing w:after="30"/>
            </w:pPr>
            <w:r>
              <w:rPr>
                <w:rFonts w:ascii="Arial" w:cs="Arial" w:eastAsia="Arial" w:hAnsi="Arial"/>
                <w:sz w:val="19"/>
                <w:szCs w:val="19"/>
              </w:rPr>
              <w:t xml:space="preserve">Algorithms, IDEs,</w:t>
            </w:r>
          </w:p>
          <w:p>
            <w:pPr>
              <w:spacing w:after="30"/>
            </w:pPr>
            <w:r>
              <w:rPr>
                <w:rFonts w:ascii="Arial" w:cs="Arial" w:eastAsia="Arial" w:hAnsi="Arial"/>
                <w:sz w:val="19"/>
                <w:szCs w:val="19"/>
              </w:rPr>
              <w:t xml:space="preserve">variables, conditionals,</w:t>
            </w:r>
          </w:p>
          <w:p>
            <w:pPr>
              <w:spacing w:after="30"/>
            </w:pPr>
            <w:r>
              <w:rPr>
                <w:rFonts w:ascii="Arial" w:cs="Arial" w:eastAsia="Arial" w:hAnsi="Arial"/>
                <w:sz w:val="19"/>
                <w:szCs w:val="19"/>
              </w:rPr>
              <w:t xml:space="preserve">loops, arrays, functions,</w:t>
            </w:r>
          </w:p>
          <w:p>
            <w:pPr>
              <w:spacing w:after="30"/>
            </w:pPr>
            <w:r>
              <w:rPr>
                <w:rFonts w:ascii="Arial" w:cs="Arial" w:eastAsia="Arial" w:hAnsi="Arial"/>
                <w:sz w:val="19"/>
                <w:szCs w:val="19"/>
              </w:rPr>
              <w:t xml:space="preserve">testing, debugging</w:t>
            </w:r>
          </w:p>
        </w:tc>
      </w:tr>
      <w:tr>
        <w:tc>
          <w:tcPr>
            <w:tcW w:type="dxa" w:w="170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30"/>
            </w:pPr>
            <w:r>
              <w:rPr>
                <w:rFonts w:ascii="Arial" w:cs="Arial" w:eastAsia="Arial" w:hAnsi="Arial"/>
                <w:sz w:val="19"/>
                <w:szCs w:val="19"/>
              </w:rPr>
              <w:t xml:space="preserve">Object-Oriented</w:t>
            </w:r>
          </w:p>
          <w:p>
            <w:pPr>
              <w:spacing w:after="30"/>
            </w:pPr>
            <w:r>
              <w:rPr>
                <w:rFonts w:ascii="Arial" w:cs="Arial" w:eastAsia="Arial" w:hAnsi="Arial"/>
                <w:sz w:val="19"/>
                <w:szCs w:val="19"/>
              </w:rPr>
              <w:t xml:space="preserve">Programming</w:t>
            </w:r>
          </w:p>
          <w:p>
            <w:pPr>
              <w:spacing w:after="30"/>
            </w:pPr>
            <w:r>
              <w:rPr>
                <w:rFonts w:ascii="Arial" w:cs="Arial" w:eastAsia="Arial" w:hAnsi="Arial"/>
                <w:sz w:val="19"/>
                <w:szCs w:val="19"/>
              </w:rPr>
              <w:t xml:space="preserve">(145065)</w:t>
            </w:r>
          </w:p>
        </w:tc>
        <w:tc>
          <w:tcPr>
            <w:tcW w:type="dxa" w:w="140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30"/>
            </w:pPr>
            <w:r>
              <w:rPr>
                <w:rFonts w:ascii="Arial" w:cs="Arial" w:eastAsia="Arial" w:hAnsi="Arial"/>
                <w:sz w:val="19"/>
                <w:szCs w:val="19"/>
              </w:rPr>
              <w:t xml:space="preserve">CTPROG002</w:t>
            </w:r>
          </w:p>
          <w:p>
            <w:pPr>
              <w:spacing w:after="30"/>
            </w:pPr>
            <w:r>
              <w:rPr>
                <w:rFonts w:ascii="Arial" w:cs="Arial" w:eastAsia="Arial" w:hAnsi="Arial"/>
                <w:sz w:val="19"/>
                <w:szCs w:val="19"/>
              </w:rPr>
              <w:t xml:space="preserve">or CTPROG003</w:t>
            </w:r>
          </w:p>
          <w:p>
            <w:pPr>
              <w:spacing w:after="30"/>
            </w:pPr>
            <w:r>
              <w:rPr>
                <w:rFonts w:ascii="Arial" w:cs="Arial" w:eastAsia="Arial" w:hAnsi="Arial"/>
                <w:sz w:val="19"/>
                <w:szCs w:val="19"/>
              </w:rPr>
              <w:t xml:space="preserve">TAG: OCS001</w:t>
            </w:r>
          </w:p>
        </w:tc>
        <w:tc>
          <w:tcPr>
            <w:tcW w:type="dxa" w:w="140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30"/>
            </w:pPr>
            <w:r>
              <w:rPr>
                <w:rFonts w:ascii="Arial" w:cs="Arial" w:eastAsia="Arial" w:hAnsi="Arial"/>
                <w:sz w:val="19"/>
                <w:szCs w:val="19"/>
              </w:rPr>
              <w:t xml:space="preserve">3 hrs</w:t>
            </w:r>
          </w:p>
        </w:tc>
        <w:tc>
          <w:tcPr>
            <w:tcW w:type="dxa" w:w="240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30"/>
            </w:pPr>
            <w:r>
              <w:rPr>
                <w:rFonts w:ascii="Arial" w:cs="Arial" w:eastAsia="Arial" w:hAnsi="Arial"/>
                <w:sz w:val="19"/>
                <w:szCs w:val="19"/>
              </w:rPr>
              <w:t xml:space="preserve">CSIS 3701</w:t>
            </w:r>
          </w:p>
          <w:p>
            <w:pPr>
              <w:spacing w:after="30"/>
            </w:pPr>
            <w:r>
              <w:rPr>
                <w:rFonts w:ascii="Arial" w:cs="Arial" w:eastAsia="Arial" w:hAnsi="Arial"/>
                <w:sz w:val="19"/>
                <w:szCs w:val="19"/>
              </w:rPr>
              <w:t xml:space="preserve">Advanced OO</w:t>
            </w:r>
          </w:p>
          <w:p>
            <w:pPr>
              <w:spacing w:after="30"/>
            </w:pPr>
            <w:r>
              <w:rPr>
                <w:rFonts w:ascii="Arial" w:cs="Arial" w:eastAsia="Arial" w:hAnsi="Arial"/>
                <w:sz w:val="19"/>
                <w:szCs w:val="19"/>
              </w:rPr>
              <w:t xml:space="preserve">Programming (3 cr)</w:t>
            </w:r>
          </w:p>
        </w:tc>
        <w:tc>
          <w:tcPr>
            <w:tcW w:type="dxa" w:w="2460"/>
            <w:tcBorders>
              <w:top w:val="single" w:color="CBD5E0" w:sz="1"/>
              <w:left w:val="single" w:color="CBD5E0" w:sz="1"/>
              <w:bottom w:val="single" w:color="CBD5E0" w:sz="1"/>
              <w:right w:val="single" w:color="CBD5E0" w:sz="1"/>
            </w:tcBorders>
            <w:tcMar>
              <w:top w:type="dxa" w:w="80"/>
              <w:left w:type="dxa" w:w="120"/>
              <w:bottom w:type="dxa" w:w="80"/>
              <w:right w:type="dxa" w:w="120"/>
            </w:tcMar>
          </w:tcPr>
          <w:p>
            <w:pPr>
              <w:spacing w:after="30"/>
            </w:pPr>
            <w:r>
              <w:rPr>
                <w:rFonts w:ascii="Arial" w:cs="Arial" w:eastAsia="Arial" w:hAnsi="Arial"/>
                <w:sz w:val="19"/>
                <w:szCs w:val="19"/>
              </w:rPr>
              <w:t xml:space="preserve">Classes, inheritance,</w:t>
            </w:r>
          </w:p>
          <w:p>
            <w:pPr>
              <w:spacing w:after="30"/>
            </w:pPr>
            <w:r>
              <w:rPr>
                <w:rFonts w:ascii="Arial" w:cs="Arial" w:eastAsia="Arial" w:hAnsi="Arial"/>
                <w:sz w:val="19"/>
                <w:szCs w:val="19"/>
              </w:rPr>
              <w:t xml:space="preserve">polymorphism, exception</w:t>
            </w:r>
          </w:p>
          <w:p>
            <w:pPr>
              <w:spacing w:after="30"/>
            </w:pPr>
            <w:r>
              <w:rPr>
                <w:rFonts w:ascii="Arial" w:cs="Arial" w:eastAsia="Arial" w:hAnsi="Arial"/>
                <w:sz w:val="19"/>
                <w:szCs w:val="19"/>
              </w:rPr>
              <w:t xml:space="preserve">handling, generics,</w:t>
            </w:r>
          </w:p>
          <w:p>
            <w:pPr>
              <w:spacing w:after="30"/>
            </w:pPr>
            <w:r>
              <w:rPr>
                <w:rFonts w:ascii="Arial" w:cs="Arial" w:eastAsia="Arial" w:hAnsi="Arial"/>
                <w:sz w:val="19"/>
                <w:szCs w:val="19"/>
              </w:rPr>
              <w:t xml:space="preserve">large-scale OO design</w:t>
            </w:r>
          </w:p>
        </w:tc>
      </w:tr>
      <w:tr>
        <w:tc>
          <w:tcPr>
            <w:tcW w:type="dxa" w:w="17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pPr>
              <w:spacing w:after="30"/>
            </w:pPr>
            <w:r>
              <w:rPr>
                <w:rFonts w:ascii="Arial" w:cs="Arial" w:eastAsia="Arial" w:hAnsi="Arial"/>
                <w:sz w:val="19"/>
                <w:szCs w:val="19"/>
              </w:rPr>
              <w:t xml:space="preserve">Visual</w:t>
            </w:r>
          </w:p>
          <w:p>
            <w:pPr>
              <w:spacing w:after="30"/>
            </w:pPr>
            <w:r>
              <w:rPr>
                <w:rFonts w:ascii="Arial" w:cs="Arial" w:eastAsia="Arial" w:hAnsi="Arial"/>
                <w:sz w:val="19"/>
                <w:szCs w:val="19"/>
              </w:rPr>
              <w:t xml:space="preserve">Programming</w:t>
            </w:r>
          </w:p>
          <w:p>
            <w:pPr>
              <w:spacing w:after="30"/>
            </w:pPr>
            <w:r>
              <w:rPr>
                <w:rFonts w:ascii="Arial" w:cs="Arial" w:eastAsia="Arial" w:hAnsi="Arial"/>
                <w:sz w:val="19"/>
                <w:szCs w:val="19"/>
              </w:rPr>
              <w:t xml:space="preserve">(145070)</w:t>
            </w:r>
          </w:p>
        </w:tc>
        <w:tc>
          <w:tcPr>
            <w:tcW w:type="dxa" w:w="14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pPr>
              <w:spacing w:after="30"/>
            </w:pPr>
            <w:r>
              <w:rPr>
                <w:rFonts w:ascii="Arial" w:cs="Arial" w:eastAsia="Arial" w:hAnsi="Arial"/>
                <w:sz w:val="19"/>
                <w:szCs w:val="19"/>
              </w:rPr>
              <w:t xml:space="preserve">CTIT012</w:t>
            </w:r>
          </w:p>
        </w:tc>
        <w:tc>
          <w:tcPr>
            <w:tcW w:type="dxa" w:w="14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pPr>
              <w:spacing w:after="30"/>
            </w:pPr>
            <w:r>
              <w:rPr>
                <w:rFonts w:ascii="Arial" w:cs="Arial" w:eastAsia="Arial" w:hAnsi="Arial"/>
                <w:sz w:val="19"/>
                <w:szCs w:val="19"/>
              </w:rPr>
              <w:t xml:space="preserve">3 hrs</w:t>
            </w:r>
          </w:p>
        </w:tc>
        <w:tc>
          <w:tcPr>
            <w:tcW w:type="dxa" w:w="240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pPr>
              <w:spacing w:after="30"/>
            </w:pPr>
            <w:r>
              <w:rPr>
                <w:rFonts w:ascii="Arial" w:cs="Arial" w:eastAsia="Arial" w:hAnsi="Arial"/>
                <w:sz w:val="19"/>
                <w:szCs w:val="19"/>
              </w:rPr>
              <w:t xml:space="preserve">CSIS 3726</w:t>
            </w:r>
          </w:p>
          <w:p>
            <w:pPr>
              <w:spacing w:after="30"/>
            </w:pPr>
            <w:r>
              <w:rPr>
                <w:rFonts w:ascii="Arial" w:cs="Arial" w:eastAsia="Arial" w:hAnsi="Arial"/>
                <w:sz w:val="19"/>
                <w:szCs w:val="19"/>
              </w:rPr>
              <w:t xml:space="preserve">Visual/OO</w:t>
            </w:r>
          </w:p>
          <w:p>
            <w:pPr>
              <w:spacing w:after="30"/>
            </w:pPr>
            <w:r>
              <w:rPr>
                <w:rFonts w:ascii="Arial" w:cs="Arial" w:eastAsia="Arial" w:hAnsi="Arial"/>
                <w:sz w:val="19"/>
                <w:szCs w:val="19"/>
              </w:rPr>
              <w:t xml:space="preserve">Programming (4 cr)</w:t>
            </w:r>
          </w:p>
        </w:tc>
        <w:tc>
          <w:tcPr>
            <w:tcW w:type="dxa" w:w="2460"/>
            <w:tcBorders>
              <w:top w:val="single" w:color="CBD5E0" w:sz="1"/>
              <w:left w:val="single" w:color="CBD5E0" w:sz="1"/>
              <w:bottom w:val="single" w:color="CBD5E0" w:sz="1"/>
              <w:right w:val="single" w:color="CBD5E0" w:sz="1"/>
            </w:tcBorders>
            <w:shd w:fill="EDF2F7" w:val="clear"/>
            <w:tcMar>
              <w:top w:type="dxa" w:w="80"/>
              <w:left w:type="dxa" w:w="120"/>
              <w:bottom w:type="dxa" w:w="80"/>
              <w:right w:type="dxa" w:w="120"/>
            </w:tcMar>
          </w:tcPr>
          <w:p>
            <w:pPr>
              <w:spacing w:after="30"/>
            </w:pPr>
            <w:r>
              <w:rPr>
                <w:rFonts w:ascii="Arial" w:cs="Arial" w:eastAsia="Arial" w:hAnsi="Arial"/>
                <w:sz w:val="19"/>
                <w:szCs w:val="19"/>
              </w:rPr>
              <w:t xml:space="preserve">Event-driven apps, GUI</w:t>
            </w:r>
          </w:p>
          <w:p>
            <w:pPr>
              <w:spacing w:after="30"/>
            </w:pPr>
            <w:r>
              <w:rPr>
                <w:rFonts w:ascii="Arial" w:cs="Arial" w:eastAsia="Arial" w:hAnsi="Arial"/>
                <w:sz w:val="19"/>
                <w:szCs w:val="19"/>
              </w:rPr>
              <w:t xml:space="preserve">development, database</w:t>
            </w:r>
          </w:p>
          <w:p>
            <w:pPr>
              <w:spacing w:after="30"/>
            </w:pPr>
            <w:r>
              <w:rPr>
                <w:rFonts w:ascii="Arial" w:cs="Arial" w:eastAsia="Arial" w:hAnsi="Arial"/>
                <w:sz w:val="19"/>
                <w:szCs w:val="19"/>
              </w:rPr>
              <w:t xml:space="preserve">programming, internet</w:t>
            </w:r>
          </w:p>
          <w:p>
            <w:pPr>
              <w:spacing w:after="30"/>
            </w:pPr>
            <w:r>
              <w:rPr>
                <w:rFonts w:ascii="Arial" w:cs="Arial" w:eastAsia="Arial" w:hAnsi="Arial"/>
                <w:sz w:val="19"/>
                <w:szCs w:val="19"/>
              </w:rPr>
              <w:t xml:space="preserve">programming</w:t>
            </w:r>
          </w:p>
        </w:tc>
      </w:tr>
    </w:tbl>
    <w:p>
      <w:pPr>
        <w:spacing w:after="120"/>
      </w:pPr>
      <w:r>
        <w:rPr>
          <w:rFonts w:ascii="Arial" w:cs="Arial" w:eastAsia="Arial" w:hAnsi="Arial"/>
          <w:sz w:val="22"/>
          <w:szCs w:val="22"/>
        </w:rPr>
        <w:t xml:space="preserve"/>
      </w:r>
    </w:p>
    <w:p>
      <w:pPr>
        <w:spacing w:after="120"/>
      </w:pPr>
      <w:r>
        <w:rPr>
          <w:rFonts w:ascii="Arial" w:cs="Arial" w:eastAsia="Arial" w:hAnsi="Arial"/>
          <w:b/>
          <w:bCs/>
          <w:color w:val="666666"/>
          <w:sz w:val="20"/>
          <w:szCs w:val="20"/>
        </w:rPr>
        <w:t xml:space="preserve">Note: </w:t>
      </w:r>
      <w:r>
        <w:rPr>
          <w:rFonts w:ascii="Arial" w:cs="Arial" w:eastAsia="Arial" w:hAnsi="Arial"/>
          <w:color w:val="666666"/>
          <w:sz w:val="20"/>
          <w:szCs w:val="20"/>
        </w:rPr>
        <w:t xml:space="preserve">YSU course equivalencies are based on the 2025–2026 catalog (</w:t>
      </w:r>
      <w:hyperlink w:history="1" r:id="rIdm0uzts_qqug_qogzxnewz">
        <w:r>
          <w:rPr>
            <w:rStyle w:val="Hyperlink"/>
            <w:rFonts w:ascii="Arial" w:cs="Arial" w:eastAsia="Arial" w:hAnsi="Arial"/>
            <w:sz w:val="20"/>
            <w:szCs w:val="20"/>
          </w:rPr>
          <w:t xml:space="preserve">catalog.ysu.edu/courses/csis</w:t>
        </w:r>
      </w:hyperlink>
      <w:r>
        <w:rPr>
          <w:rFonts w:ascii="Arial" w:cs="Arial" w:eastAsia="Arial" w:hAnsi="Arial"/>
          <w:color w:val="666666"/>
          <w:sz w:val="20"/>
          <w:szCs w:val="20"/>
        </w:rPr>
        <w:t xml:space="preserve">). Where the CTAG credit is 3 hours and the YSU course is 4 hours (e.g., CSIS 3726), the student may receive the 3 guaranteed CTAG hours with the opportunity for the institution to award the full course equivalency.</w:t>
      </w:r>
    </w:p>
    <w:p>
      <w:pPr>
        <w:pStyle w:val="Heading1"/>
      </w:pPr>
      <w:r>
        <w:rPr>
          <w:rFonts w:ascii="Arial" w:cs="Arial" w:eastAsia="Arial" w:hAnsi="Arial"/>
          <w:b/>
          <w:bCs/>
          <w:color w:val="1B3A5C"/>
          <w:sz w:val="30"/>
          <w:szCs w:val="30"/>
        </w:rPr>
        <w:t xml:space="preserve">Benefits to Students and Families</w:t>
      </w:r>
    </w:p>
    <w:p>
      <w:pPr>
        <w:pStyle w:val="ListParagraph"/>
        <w:numPr>
          <w:ilvl w:val="0"/>
          <w:numId w:val="3"/>
        </w:numPr>
        <w:spacing w:after="80"/>
      </w:pPr>
      <w:r>
        <w:rPr>
          <w:rFonts w:ascii="Arial" w:cs="Arial" w:eastAsia="Arial" w:hAnsi="Arial"/>
          <w:b/>
          <w:bCs/>
          <w:sz w:val="22"/>
          <w:szCs w:val="22"/>
        </w:rPr>
        <w:t xml:space="preserve">Significant Cost Savings </w:t>
      </w:r>
      <w:r>
        <w:rPr>
          <w:rFonts w:ascii="Arial" w:cs="Arial" w:eastAsia="Arial" w:hAnsi="Arial"/>
          <w:sz w:val="22"/>
          <w:szCs w:val="22"/>
        </w:rPr>
        <w:t xml:space="preserve">– Up to 12 credit hours at no additional cost means thousands of dollars saved on tuition, fees, and textbooks.</w:t>
      </w:r>
    </w:p>
    <w:p>
      <w:pPr>
        <w:pStyle w:val="ListParagraph"/>
        <w:numPr>
          <w:ilvl w:val="0"/>
          <w:numId w:val="3"/>
        </w:numPr>
        <w:spacing w:after="80"/>
      </w:pPr>
      <w:r>
        <w:rPr>
          <w:rFonts w:ascii="Arial" w:cs="Arial" w:eastAsia="Arial" w:hAnsi="Arial"/>
          <w:b/>
          <w:bCs/>
          <w:sz w:val="22"/>
          <w:szCs w:val="22"/>
        </w:rPr>
        <w:t xml:space="preserve">Accelerated Degree Completion </w:t>
      </w:r>
      <w:r>
        <w:rPr>
          <w:rFonts w:ascii="Arial" w:cs="Arial" w:eastAsia="Arial" w:hAnsi="Arial"/>
          <w:sz w:val="22"/>
          <w:szCs w:val="22"/>
        </w:rPr>
        <w:t xml:space="preserve">– Students enter college with credit already on their transcript, allowing them to move into advanced courses sooner and potentially graduate earlier.</w:t>
      </w:r>
    </w:p>
    <w:p>
      <w:pPr>
        <w:pStyle w:val="ListParagraph"/>
        <w:numPr>
          <w:ilvl w:val="0"/>
          <w:numId w:val="3"/>
        </w:numPr>
        <w:spacing w:after="80"/>
      </w:pPr>
      <w:r>
        <w:rPr>
          <w:rFonts w:ascii="Arial" w:cs="Arial" w:eastAsia="Arial" w:hAnsi="Arial"/>
          <w:b/>
          <w:bCs/>
          <w:sz w:val="22"/>
          <w:szCs w:val="22"/>
        </w:rPr>
        <w:t xml:space="preserve">Statewide Portability </w:t>
      </w:r>
      <w:r>
        <w:rPr>
          <w:rFonts w:ascii="Arial" w:cs="Arial" w:eastAsia="Arial" w:hAnsi="Arial"/>
          <w:sz w:val="22"/>
          <w:szCs w:val="22"/>
        </w:rPr>
        <w:t xml:space="preserve">– CTAG credit is honored at all Ohio public colleges and universities that offer the equivalent course. Students are not locked into one institution.</w:t>
      </w:r>
    </w:p>
    <w:p>
      <w:pPr>
        <w:pStyle w:val="ListParagraph"/>
        <w:numPr>
          <w:ilvl w:val="0"/>
          <w:numId w:val="3"/>
        </w:numPr>
        <w:spacing w:after="80"/>
      </w:pPr>
      <w:r>
        <w:rPr>
          <w:rFonts w:ascii="Arial" w:cs="Arial" w:eastAsia="Arial" w:hAnsi="Arial"/>
          <w:b/>
          <w:bCs/>
          <w:sz w:val="22"/>
          <w:szCs w:val="22"/>
        </w:rPr>
        <w:t xml:space="preserve">Industry-Aligned Curriculum </w:t>
      </w:r>
      <w:r>
        <w:rPr>
          <w:rFonts w:ascii="Arial" w:cs="Arial" w:eastAsia="Arial" w:hAnsi="Arial"/>
          <w:sz w:val="22"/>
          <w:szCs w:val="22"/>
        </w:rPr>
        <w:t xml:space="preserve">– Our courses are built to Ohio’s career-technical content standards, developed with input from industry professionals and reviewed by statewide panels of college faculty.</w:t>
      </w:r>
    </w:p>
    <w:p>
      <w:pPr>
        <w:pStyle w:val="ListParagraph"/>
        <w:numPr>
          <w:ilvl w:val="0"/>
          <w:numId w:val="3"/>
        </w:numPr>
        <w:spacing w:after="80"/>
      </w:pPr>
      <w:r>
        <w:rPr>
          <w:rFonts w:ascii="Arial" w:cs="Arial" w:eastAsia="Arial" w:hAnsi="Arial"/>
          <w:b/>
          <w:bCs/>
          <w:sz w:val="22"/>
          <w:szCs w:val="22"/>
        </w:rPr>
        <w:t xml:space="preserve">Proven Competency </w:t>
      </w:r>
      <w:r>
        <w:rPr>
          <w:rFonts w:ascii="Arial" w:cs="Arial" w:eastAsia="Arial" w:hAnsi="Arial"/>
          <w:sz w:val="22"/>
          <w:szCs w:val="22"/>
        </w:rPr>
        <w:t xml:space="preserve">– The WebXam provides an independent, state-administered validation of each student’s knowledge. This gives universities confidence that the credit is well-earned.</w:t>
      </w:r>
    </w:p>
    <w:p>
      <w:pPr>
        <w:pStyle w:val="ListParagraph"/>
        <w:numPr>
          <w:ilvl w:val="0"/>
          <w:numId w:val="3"/>
        </w:numPr>
        <w:spacing w:after="80"/>
      </w:pPr>
      <w:r>
        <w:rPr>
          <w:rFonts w:ascii="Arial" w:cs="Arial" w:eastAsia="Arial" w:hAnsi="Arial"/>
          <w:b/>
          <w:bCs/>
          <w:sz w:val="22"/>
          <w:szCs w:val="22"/>
        </w:rPr>
        <w:t xml:space="preserve">Equity and Access </w:t>
      </w:r>
      <w:r>
        <w:rPr>
          <w:rFonts w:ascii="Arial" w:cs="Arial" w:eastAsia="Arial" w:hAnsi="Arial"/>
          <w:sz w:val="22"/>
          <w:szCs w:val="22"/>
        </w:rPr>
        <w:t xml:space="preserve">– Every student who earns a qualifying score receives the same credit guarantee, regardless of background. This levels the playing field for students pursuing higher education.</w:t>
      </w:r>
    </w:p>
    <w:p>
      <w:pPr>
        <w:pStyle w:val="ListParagraph"/>
        <w:numPr>
          <w:ilvl w:val="0"/>
          <w:numId w:val="3"/>
        </w:numPr>
        <w:spacing w:after="80"/>
      </w:pPr>
      <w:r>
        <w:rPr>
          <w:rFonts w:ascii="Arial" w:cs="Arial" w:eastAsia="Arial" w:hAnsi="Arial"/>
          <w:b/>
          <w:bCs/>
          <w:sz w:val="22"/>
          <w:szCs w:val="22"/>
        </w:rPr>
        <w:t xml:space="preserve">Career Readiness </w:t>
      </w:r>
      <w:r>
        <w:rPr>
          <w:rFonts w:ascii="Arial" w:cs="Arial" w:eastAsia="Arial" w:hAnsi="Arial"/>
          <w:sz w:val="22"/>
          <w:szCs w:val="22"/>
        </w:rPr>
        <w:t xml:space="preserve">– Even students who enter the workforce directly after graduation benefit from the technical skills and credentials embedded in the pathway.</w:t>
      </w:r>
    </w:p>
    <w:p>
      <w:pPr>
        <w:spacing w:after="120"/>
      </w:pPr>
      <w:r>
        <w:rPr>
          <w:rFonts w:ascii="Arial" w:cs="Arial" w:eastAsia="Arial" w:hAnsi="Arial"/>
          <w:sz w:val="22"/>
          <w:szCs w:val="22"/>
        </w:rPr>
        <w:t xml:space="preserve"/>
      </w:r>
    </w:p>
    <w:p>
      <w:pPr>
        <w:pStyle w:val="Heading1"/>
      </w:pPr>
      <w:r>
        <w:rPr>
          <w:rFonts w:ascii="Arial" w:cs="Arial" w:eastAsia="Arial" w:hAnsi="Arial"/>
          <w:b/>
          <w:bCs/>
          <w:color w:val="1B3A5C"/>
          <w:sz w:val="30"/>
          <w:szCs w:val="30"/>
        </w:rPr>
        <w:t xml:space="preserve">The Bigger Picture: Ohio’s Transfer Promise</w:t>
      </w:r>
    </w:p>
    <w:p>
      <w:pPr>
        <w:spacing w:after="120"/>
      </w:pPr>
      <w:r>
        <w:rPr>
          <w:rFonts w:ascii="Arial" w:cs="Arial" w:eastAsia="Arial" w:hAnsi="Arial"/>
          <w:sz w:val="22"/>
          <w:szCs w:val="22"/>
        </w:rPr>
        <w:t xml:space="preserve">The CTAG program is part of a broader set of Ohio initiatives designed to support career-technical students as they pursue postsecondary education:</w:t>
      </w:r>
    </w:p>
    <w:p>
      <w:pPr>
        <w:pStyle w:val="ListParagraph"/>
        <w:numPr>
          <w:ilvl w:val="0"/>
          <w:numId w:val="3"/>
        </w:numPr>
        <w:spacing w:after="80"/>
      </w:pPr>
      <w:r>
        <w:rPr>
          <w:rFonts w:ascii="Arial" w:cs="Arial" w:eastAsia="Arial" w:hAnsi="Arial"/>
          <w:b/>
          <w:bCs/>
          <w:sz w:val="22"/>
          <w:szCs w:val="22"/>
        </w:rPr>
        <w:t xml:space="preserve">The Ohio Transfer Promise </w:t>
      </w:r>
      <w:r>
        <w:rPr>
          <w:rFonts w:ascii="Arial" w:cs="Arial" w:eastAsia="Arial" w:hAnsi="Arial"/>
          <w:sz w:val="22"/>
          <w:szCs w:val="22"/>
        </w:rPr>
        <w:t xml:space="preserve">– A commitment from all Ohio public colleges and universities to eliminate obstacles in credit transfer and accept courses approved by statewide faculty panels.</w:t>
      </w:r>
    </w:p>
    <w:p>
      <w:pPr>
        <w:pStyle w:val="ListParagraph"/>
        <w:numPr>
          <w:ilvl w:val="0"/>
          <w:numId w:val="3"/>
        </w:numPr>
        <w:spacing w:after="80"/>
      </w:pPr>
      <w:r>
        <w:rPr>
          <w:rFonts w:ascii="Arial" w:cs="Arial" w:eastAsia="Arial" w:hAnsi="Arial"/>
          <w:b/>
          <w:bCs/>
          <w:sz w:val="22"/>
          <w:szCs w:val="22"/>
        </w:rPr>
        <w:t xml:space="preserve">Transfer Assurance Guides (TAGs) </w:t>
      </w:r>
      <w:r>
        <w:rPr>
          <w:rFonts w:ascii="Arial" w:cs="Arial" w:eastAsia="Arial" w:hAnsi="Arial"/>
          <w:sz w:val="22"/>
          <w:szCs w:val="22"/>
        </w:rPr>
        <w:t xml:space="preserve">– Three of our four CTANs are aligned with TAG courses (OIT001, OIT003, OCS001), meaning the credit applies across the entire Ohio public university system.</w:t>
      </w:r>
    </w:p>
    <w:p>
      <w:pPr>
        <w:pStyle w:val="ListParagraph"/>
        <w:numPr>
          <w:ilvl w:val="0"/>
          <w:numId w:val="3"/>
        </w:numPr>
        <w:spacing w:after="80"/>
      </w:pPr>
      <w:r>
        <w:rPr>
          <w:rFonts w:ascii="Arial" w:cs="Arial" w:eastAsia="Arial" w:hAnsi="Arial"/>
          <w:b/>
          <w:bCs/>
          <w:sz w:val="22"/>
          <w:szCs w:val="22"/>
        </w:rPr>
        <w:t xml:space="preserve">WebXam Quality Assurance </w:t>
      </w:r>
      <w:r>
        <w:rPr>
          <w:rFonts w:ascii="Arial" w:cs="Arial" w:eastAsia="Arial" w:hAnsi="Arial"/>
          <w:sz w:val="22"/>
          <w:szCs w:val="22"/>
        </w:rPr>
        <w:t xml:space="preserve">– The state-administered assessment ensures consistent, high-quality standards across every career center in Ohio. A qualifying WebXam score is the state’s seal of approval on student competency.</w:t>
      </w:r>
    </w:p>
    <w:p>
      <w:pPr>
        <w:spacing w:after="120"/>
      </w:pPr>
      <w:r>
        <w:rPr>
          <w:rFonts w:ascii="Arial" w:cs="Arial" w:eastAsia="Arial" w:hAnsi="Arial"/>
          <w:sz w:val="22"/>
          <w:szCs w:val="22"/>
        </w:rPr>
        <w:t xml:space="preserve"/>
      </w:r>
    </w:p>
    <w:p>
      <w:pPr>
        <w:spacing w:after="120"/>
      </w:pPr>
      <w:r>
        <w:rPr>
          <w:rFonts w:ascii="Arial" w:cs="Arial" w:eastAsia="Arial" w:hAnsi="Arial"/>
          <w:sz w:val="22"/>
          <w:szCs w:val="22"/>
        </w:rPr>
        <w:t xml:space="preserve">Our Software Development Pathway gives students a meaningful head start on their college education while preparing them with in-demand technical skills. Whether a graduate enrolls at YSU, another Ohio public university, or enters the workforce directly, they leave MCCTC with real, portable credentials that open doors.</w:t>
      </w:r>
    </w:p>
    <w:p>
      <w:pPr>
        <w:spacing w:after="120"/>
      </w:pPr>
      <w:r>
        <w:rPr>
          <w:rFonts w:ascii="Arial" w:cs="Arial" w:eastAsia="Arial" w:hAnsi="Arial"/>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8850A" w:sz="2"/>
              <w:left w:val="single" w:color="C8850A" w:sz="6"/>
              <w:bottom w:val="single" w:color="C8850A" w:sz="2"/>
              <w:right w:val="single" w:color="C8850A" w:sz="2"/>
            </w:tcBorders>
            <w:shd w:fill="FFFBF0" w:val="clear"/>
            <w:tcMar>
              <w:top w:type="dxa" w:w="140"/>
              <w:left w:type="dxa" w:w="200"/>
              <w:bottom w:type="dxa" w:w="140"/>
              <w:right w:type="dxa" w:w="200"/>
            </w:tcMar>
          </w:tcPr>
          <w:p>
            <w:pPr>
              <w:spacing w:after="80"/>
            </w:pPr>
            <w:r>
              <w:rPr>
                <w:rFonts w:ascii="Arial" w:cs="Arial" w:eastAsia="Arial" w:hAnsi="Arial"/>
                <w:b/>
                <w:bCs/>
                <w:color w:val="1B3A5C"/>
                <w:sz w:val="24"/>
                <w:szCs w:val="24"/>
              </w:rPr>
              <w:t xml:space="preserve">Key Takeaway</w:t>
            </w:r>
          </w:p>
          <w:p>
            <w:pPr>
              <w:spacing w:after="60"/>
            </w:pPr>
            <w:r>
              <w:rPr>
                <w:rFonts w:ascii="Arial" w:cs="Arial" w:eastAsia="Arial" w:hAnsi="Arial"/>
                <w:b/>
                <w:bCs/>
                <w:sz w:val="22"/>
                <w:szCs w:val="22"/>
              </w:rPr>
              <w:t xml:space="preserve">Our students are not just learning to code—they are earning verified, state-guaranteed college credit while doing it. </w:t>
            </w:r>
            <w:r>
              <w:rPr>
                <w:rFonts w:ascii="Arial" w:cs="Arial" w:eastAsia="Arial" w:hAnsi="Arial"/>
                <w:sz w:val="22"/>
                <w:szCs w:val="22"/>
              </w:rPr>
              <w:t xml:space="preserve">This is one of the strongest value propositions in career-technical education, and it directly benefits the students and families in our community.</w:t>
            </w:r>
          </w:p>
        </w:tc>
      </w:tr>
    </w:tbl>
    <w:p>
      <w:pPr>
        <w:spacing w:after="120"/>
      </w:pPr>
      <w:r>
        <w:rPr>
          <w:rFonts w:ascii="Arial" w:cs="Arial" w:eastAsia="Arial" w:hAnsi="Arial"/>
          <w:sz w:val="22"/>
          <w:szCs w:val="22"/>
        </w:rPr>
        <w:t xml:space="preserve"/>
      </w:r>
    </w:p>
    <w:p>
      <w:pPr>
        <w:pStyle w:val="Heading2"/>
      </w:pPr>
      <w:r>
        <w:rPr>
          <w:rFonts w:ascii="Arial" w:cs="Arial" w:eastAsia="Arial" w:hAnsi="Arial"/>
          <w:b/>
          <w:bCs/>
          <w:color w:val="2B6CB0"/>
          <w:sz w:val="25"/>
          <w:szCs w:val="25"/>
        </w:rPr>
        <w:t xml:space="preserve">Resources and References</w:t>
      </w:r>
    </w:p>
    <w:p>
      <w:pPr>
        <w:spacing w:after="120"/>
      </w:pPr>
      <w:hyperlink w:history="1" r:id="rIdr-9q_ireq_rabpqai4vkh">
        <w:r>
          <w:rPr>
            <w:rStyle w:val="Hyperlink"/>
            <w:rFonts w:ascii="Arial" w:cs="Arial" w:eastAsia="Arial" w:hAnsi="Arial"/>
            <w:sz w:val="20"/>
            <w:szCs w:val="20"/>
          </w:rPr>
          <w:t xml:space="preserve">Ohio Transfer Promise</w:t>
        </w:r>
      </w:hyperlink>
    </w:p>
    <w:p>
      <w:pPr>
        <w:spacing w:after="120"/>
      </w:pPr>
      <w:hyperlink w:history="1" r:id="rIdhc3_qr4-ke8kahl4m8s7f">
        <w:r>
          <w:rPr>
            <w:rStyle w:val="Hyperlink"/>
            <w:rFonts w:ascii="Arial" w:cs="Arial" w:eastAsia="Arial" w:hAnsi="Arial"/>
            <w:sz w:val="20"/>
            <w:szCs w:val="20"/>
          </w:rPr>
          <w:t xml:space="preserve">CTAG Descriptions and Documents</w:t>
        </w:r>
      </w:hyperlink>
    </w:p>
    <w:p>
      <w:pPr>
        <w:spacing w:after="120"/>
      </w:pPr>
      <w:hyperlink w:history="1" r:id="rIdkwvihth1q3t7i0lswx5zw">
        <w:r>
          <w:rPr>
            <w:rStyle w:val="Hyperlink"/>
            <w:rFonts w:ascii="Arial" w:cs="Arial" w:eastAsia="Arial" w:hAnsi="Arial"/>
            <w:sz w:val="20"/>
            <w:szCs w:val="20"/>
          </w:rPr>
          <w:t xml:space="preserve">CTAG Guidance Document (FY2026)</w:t>
        </w:r>
      </w:hyperlink>
    </w:p>
    <w:p>
      <w:pPr>
        <w:spacing w:after="120"/>
      </w:pPr>
      <w:hyperlink w:history="1" r:id="rIdhu4s9mxnymmziadhm32wt">
        <w:r>
          <w:rPr>
            <w:rStyle w:val="Hyperlink"/>
            <w:rFonts w:ascii="Arial" w:cs="Arial" w:eastAsia="Arial" w:hAnsi="Arial"/>
            <w:sz w:val="20"/>
            <w:szCs w:val="20"/>
          </w:rPr>
          <w:t xml:space="preserve">Programming &amp; Software Dev CTAG Alignment</w:t>
        </w:r>
      </w:hyperlink>
    </w:p>
    <w:p>
      <w:pPr>
        <w:spacing w:after="120"/>
      </w:pPr>
      <w:hyperlink w:history="1" r:id="rId9wofbivmey_czvcyioxzl">
        <w:r>
          <w:rPr>
            <w:rStyle w:val="Hyperlink"/>
            <w:rFonts w:ascii="Arial" w:cs="Arial" w:eastAsia="Arial" w:hAnsi="Arial"/>
            <w:sz w:val="20"/>
            <w:szCs w:val="20"/>
          </w:rPr>
          <w:t xml:space="preserve">Interactive Media CTAG Alignment (Fall 2025)</w:t>
        </w:r>
      </w:hyperlink>
    </w:p>
    <w:p>
      <w:pPr>
        <w:spacing w:after="120"/>
      </w:pPr>
      <w:hyperlink w:history="1" r:id="rIdrndzjt4pbbsa43zhw4mjd">
        <w:r>
          <w:rPr>
            <w:rStyle w:val="Hyperlink"/>
            <w:rFonts w:ascii="Arial" w:cs="Arial" w:eastAsia="Arial" w:hAnsi="Arial"/>
            <w:sz w:val="20"/>
            <w:szCs w:val="20"/>
          </w:rPr>
          <w:t xml:space="preserve">YSU CSIS Course Catalog</w:t>
        </w:r>
      </w:hyperlink>
    </w:p>
    <w:p>
      <w:pPr>
        <w:spacing w:after="120"/>
      </w:pPr>
      <w:hyperlink w:history="1" r:id="rIdrf7zpjl2nq718hfyjryni">
        <w:r>
          <w:rPr>
            <w:rStyle w:val="Hyperlink"/>
            <w:rFonts w:ascii="Arial" w:cs="Arial" w:eastAsia="Arial" w:hAnsi="Arial"/>
            <w:sz w:val="20"/>
            <w:szCs w:val="20"/>
          </w:rPr>
          <w:t xml:space="preserve">Ohio Revised Code §3333.162 – Transfer of Credit</w:t>
        </w:r>
      </w:hyperlink>
    </w:p>
    <w:sectPr>
      <w:headerReference w:type="default" r:id="rId6"/>
      <w:footerReference w:type="default" r:id="rId7"/>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5"/>
        <w:szCs w:val="15"/>
      </w:rPr>
      <w:t xml:space="preserve">Mahoning County Career and Technical Center  |  Page </w:t>
    </w:r>
    <w:r>
      <w:rPr>
        <w:rFonts w:ascii="Arial" w:cs="Arial" w:eastAsia="Arial" w:hAnsi="Arial"/>
        <w:color w:val="999999"/>
        <w:sz w:val="15"/>
        <w:szCs w:val="15"/>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3182CE" w:sz="2" w:space="1"/>
      </w:pBdr>
      <w:spacing w:after="0"/>
      <w:jc w:val="right"/>
    </w:pPr>
    <w:r>
      <w:rPr>
        <w:rFonts w:ascii="Arial" w:cs="Arial" w:eastAsia="Arial" w:hAnsi="Arial"/>
        <w:color w:val="999999"/>
        <w:sz w:val="16"/>
        <w:szCs w:val="16"/>
      </w:rPr>
      <w:t xml:space="preserve">MCCTC Software Development Pathway  |  Advisory Committee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00" w:after="160"/>
      <w:outlineLvl w:val="0"/>
    </w:pPr>
    <w:rPr>
      <w:rFonts w:ascii="Arial" w:cs="Arial" w:eastAsia="Arial" w:hAnsi="Arial"/>
      <w:b/>
      <w:bCs/>
      <w:color w:val="1B3A5C"/>
      <w:sz w:val="30"/>
      <w:szCs w:val="30"/>
    </w:rPr>
  </w:style>
  <w:style w:type="paragraph" w:styleId="Heading2">
    <w:name w:val="Heading 2"/>
    <w:basedOn w:val="Normal"/>
    <w:next w:val="Normal"/>
    <w:qFormat/>
    <w:pPr>
      <w:spacing w:before="240" w:after="120"/>
      <w:outlineLvl w:val="1"/>
    </w:pPr>
    <w:rPr>
      <w:rFonts w:ascii="Arial" w:cs="Arial" w:eastAsia="Arial" w:hAnsi="Arial"/>
      <w:b/>
      <w:bCs/>
      <w:color w:val="2B6CB0"/>
      <w:sz w:val="25"/>
      <w:szCs w:val="25"/>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m0uzts_qqug_qogzxnewz" Type="http://schemas.openxmlformats.org/officeDocument/2006/relationships/hyperlink" Target="https://catalog.ysu.edu/courses/csis/" TargetMode="External"/><Relationship Id="rIdr-9q_ireq_rabpqai4vkh" Type="http://schemas.openxmlformats.org/officeDocument/2006/relationships/hyperlink" Target="https://transfercredit.ohio.gov/initiatives-upd/ohio-transfer-promise" TargetMode="External"/><Relationship Id="rIdhc3_qr4-ke8kahl4m8s7f" Type="http://schemas.openxmlformats.org/officeDocument/2006/relationships/hyperlink" Target="https://transfercredit.ohio.gov/initiatives-upd/career-technical-credit-transfer-ct2/career-technical-assurance-guide-ctag-descriptions" TargetMode="External"/><Relationship Id="rIdkwvihth1q3t7i0lswx5zw" Type="http://schemas.openxmlformats.org/officeDocument/2006/relationships/hyperlink" Target="https://dam.assets.ohio.gov/raw/upload/v1750692086/transfercredit.ohio.gov/files/CT2/CTAG_Guidance_Document/CTAG_Guidance_Document_2025-06-23.xlsx" TargetMode="External"/><Relationship Id="rIdhu4s9mxnymmziadhm32wt" Type="http://schemas.openxmlformats.org/officeDocument/2006/relationships/hyperlink" Target="https://dam.assets.ohio.gov/image/upload/transfercredit.ohio.gov/files/transfer/CT2/Programming_SCTAI_Alignment_10-1-21%20update.pdf" TargetMode="External"/><Relationship Id="rId9wofbivmey_czvcyioxzl" Type="http://schemas.openxmlformats.org/officeDocument/2006/relationships/hyperlink" Target="https://dam.assets.ohio.gov/image/upload/v1752076025/transfercredit.ohio.gov/files/CT2/CTAG_Documents/Interactive_Media_CTAG_Alignment_FINAL_7.9.25.pdf" TargetMode="External"/><Relationship Id="rIdrndzjt4pbbsa43zhw4mjd" Type="http://schemas.openxmlformats.org/officeDocument/2006/relationships/hyperlink" Target="https://catalog.ysu.edu/courses/csis/" TargetMode="External"/><Relationship Id="rIdrf7zpjl2nq718hfyjryni" Type="http://schemas.openxmlformats.org/officeDocument/2006/relationships/hyperlink" Target="https://codes.ohio.gov/ohio-revised-code/section-3333.162" TargetMode="External"/><Relationship Id="rId16"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2026-03-11T20:29:39.331Z</dcterms:created>
  <dcterms:modified xsi:type="dcterms:W3CDTF">2026-03-11T20:29:39.332Z</dcterms:modified>
</cp:coreProperties>
</file>

<file path=docProps/custom.xml><?xml version="1.0" encoding="utf-8"?>
<Properties xmlns="http://schemas.openxmlformats.org/officeDocument/2006/custom-properties" xmlns:vt="http://schemas.openxmlformats.org/officeDocument/2006/docPropsVTypes"/>
</file>